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A925" w14:textId="28AE9F3E" w:rsidR="00961D48" w:rsidRPr="002F3A8B" w:rsidRDefault="00961D48" w:rsidP="00961D48">
      <w:pPr>
        <w:rPr>
          <w:rFonts w:ascii="Open Sans" w:hAnsi="Open Sans" w:cs="Open Sans"/>
          <w:i/>
          <w:lang w:val="en-AU"/>
        </w:rPr>
      </w:pPr>
      <w:r w:rsidRPr="002F3A8B">
        <w:rPr>
          <w:rFonts w:ascii="Open Sans" w:hAnsi="Open Sans" w:cs="Open Sans"/>
          <w:i/>
          <w:lang w:val="en-AU"/>
        </w:rPr>
        <w:t>Table </w:t>
      </w:r>
      <w:r w:rsidR="00D4298E">
        <w:rPr>
          <w:rFonts w:ascii="Open Sans" w:hAnsi="Open Sans" w:cs="Open Sans"/>
          <w:i/>
          <w:lang w:val="en-AU"/>
        </w:rPr>
        <w:t>9</w:t>
      </w:r>
      <w:r w:rsidRPr="002F3A8B">
        <w:rPr>
          <w:rFonts w:ascii="Open Sans" w:hAnsi="Open Sans" w:cs="Open Sans"/>
          <w:i/>
          <w:lang w:val="en-AU"/>
        </w:rPr>
        <w:t>: Summary of review recommendations</w:t>
      </w:r>
      <w:r w:rsidR="00D4298E">
        <w:rPr>
          <w:rFonts w:ascii="Open Sans" w:hAnsi="Open Sans" w:cs="Open Sans"/>
          <w:i/>
          <w:lang w:val="en-AU"/>
        </w:rPr>
        <w:t xml:space="preserve"> for the period </w:t>
      </w:r>
      <w:r w:rsidR="00D4298E" w:rsidRPr="00D4298E">
        <w:rPr>
          <w:rFonts w:ascii="Open Sans" w:hAnsi="Open Sans" w:cs="Open Sans"/>
          <w:i/>
          <w:lang w:val="en-AU"/>
        </w:rPr>
        <w:t>November 2018 to March 2024</w:t>
      </w:r>
    </w:p>
    <w:tbl>
      <w:tblPr>
        <w:tblStyle w:val="TableGrid"/>
        <w:tblW w:w="13150" w:type="dxa"/>
        <w:tblInd w:w="28" w:type="dxa"/>
        <w:tblLook w:val="0620" w:firstRow="1" w:lastRow="0" w:firstColumn="0" w:lastColumn="0" w:noHBand="1" w:noVBand="1"/>
      </w:tblPr>
      <w:tblGrid>
        <w:gridCol w:w="554"/>
        <w:gridCol w:w="3949"/>
        <w:gridCol w:w="1276"/>
        <w:gridCol w:w="1559"/>
        <w:gridCol w:w="5812"/>
      </w:tblGrid>
      <w:tr w:rsidR="00447BB7" w:rsidRPr="00961D48" w14:paraId="37183E4C" w14:textId="75AA91F3" w:rsidTr="5CADFDBE">
        <w:trPr>
          <w:cantSplit/>
          <w:tblHeader/>
        </w:trPr>
        <w:tc>
          <w:tcPr>
            <w:tcW w:w="554" w:type="dxa"/>
          </w:tcPr>
          <w:p w14:paraId="0803D560" w14:textId="77777777" w:rsidR="00447BB7" w:rsidRPr="001230FA" w:rsidRDefault="00447BB7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</w:p>
        </w:tc>
        <w:tc>
          <w:tcPr>
            <w:tcW w:w="3949" w:type="dxa"/>
          </w:tcPr>
          <w:p w14:paraId="161D6AC4" w14:textId="77777777" w:rsidR="00447BB7" w:rsidRPr="001230FA" w:rsidRDefault="00447BB7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Recommendation</w:t>
            </w:r>
          </w:p>
        </w:tc>
        <w:tc>
          <w:tcPr>
            <w:tcW w:w="1276" w:type="dxa"/>
          </w:tcPr>
          <w:p w14:paraId="01959F19" w14:textId="77777777" w:rsidR="00447BB7" w:rsidRPr="001230FA" w:rsidRDefault="00447BB7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Section</w:t>
            </w:r>
          </w:p>
        </w:tc>
        <w:tc>
          <w:tcPr>
            <w:tcW w:w="1559" w:type="dxa"/>
          </w:tcPr>
          <w:p w14:paraId="640536E8" w14:textId="77777777" w:rsidR="00447BB7" w:rsidRPr="001230FA" w:rsidRDefault="00447BB7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Rating</w:t>
            </w:r>
          </w:p>
        </w:tc>
        <w:tc>
          <w:tcPr>
            <w:tcW w:w="5812" w:type="dxa"/>
          </w:tcPr>
          <w:p w14:paraId="2BAE1130" w14:textId="08990C91" w:rsidR="00447BB7" w:rsidRPr="001230FA" w:rsidRDefault="00723391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 xml:space="preserve">FRDC </w:t>
            </w:r>
            <w:r w:rsidR="00447BB7"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Response</w:t>
            </w:r>
          </w:p>
        </w:tc>
      </w:tr>
      <w:tr w:rsidR="00447BB7" w:rsidRPr="00961D48" w14:paraId="10C06D31" w14:textId="2A88E1DD" w:rsidTr="5CADFDBE">
        <w:trPr>
          <w:cantSplit/>
        </w:trPr>
        <w:tc>
          <w:tcPr>
            <w:tcW w:w="554" w:type="dxa"/>
          </w:tcPr>
          <w:p w14:paraId="381AAAA6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1</w:t>
            </w:r>
          </w:p>
        </w:tc>
        <w:tc>
          <w:tcPr>
            <w:tcW w:w="3949" w:type="dxa"/>
          </w:tcPr>
          <w:p w14:paraId="72116F41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consider and clarify the interface between its Strategy &amp; Innovation and Research &amp; Development Investment divisions and communicate their respective roles internally and externally.</w:t>
            </w:r>
          </w:p>
        </w:tc>
        <w:tc>
          <w:tcPr>
            <w:tcW w:w="1276" w:type="dxa"/>
          </w:tcPr>
          <w:p w14:paraId="21E5FF5C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4.6</w:t>
            </w:r>
          </w:p>
        </w:tc>
        <w:tc>
          <w:tcPr>
            <w:tcW w:w="1559" w:type="dxa"/>
          </w:tcPr>
          <w:p w14:paraId="0F8231E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Important</w:t>
            </w:r>
          </w:p>
        </w:tc>
        <w:tc>
          <w:tcPr>
            <w:tcW w:w="5812" w:type="dxa"/>
          </w:tcPr>
          <w:p w14:paraId="1032D834" w14:textId="77777777" w:rsidR="00447BB7" w:rsidRPr="001230FA" w:rsidRDefault="00E0239D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4563F556" w14:textId="77777777" w:rsidR="0094549E" w:rsidRPr="001230FA" w:rsidRDefault="00E97ED1" w:rsidP="00E97ED1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As part of the new R&amp;D Plan, FRDC is </w:t>
            </w:r>
            <w:r w:rsidR="00AF187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refining</w:t>
            </w:r>
            <w:r w:rsidR="004E198A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</w:t>
            </w:r>
            <w:r w:rsidR="00C012C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investment processes to identify </w:t>
            </w:r>
            <w:r w:rsidR="00F43D8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leads and support</w:t>
            </w:r>
            <w:r w:rsidR="0098162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roles for </w:t>
            </w:r>
            <w:r w:rsidR="000F603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investment</w:t>
            </w:r>
          </w:p>
          <w:p w14:paraId="604D9C52" w14:textId="09CB61FF" w:rsidR="0094549E" w:rsidRPr="001230FA" w:rsidRDefault="00125667" w:rsidP="00E97ED1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are also increasing the communications on th</w:t>
            </w:r>
            <w:r w:rsidR="00602E3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e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role of </w:t>
            </w:r>
            <w:r w:rsidR="003D205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Strategy and Innovation</w:t>
            </w:r>
          </w:p>
        </w:tc>
      </w:tr>
      <w:tr w:rsidR="00447BB7" w:rsidRPr="00961D48" w14:paraId="27680AA6" w14:textId="72E7121B" w:rsidTr="5CADFDBE">
        <w:trPr>
          <w:cantSplit/>
        </w:trPr>
        <w:tc>
          <w:tcPr>
            <w:tcW w:w="554" w:type="dxa"/>
          </w:tcPr>
          <w:p w14:paraId="4129AC38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2</w:t>
            </w:r>
          </w:p>
        </w:tc>
        <w:tc>
          <w:tcPr>
            <w:tcW w:w="3949" w:type="dxa"/>
          </w:tcPr>
          <w:p w14:paraId="76C0BBC1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The next version of the R&amp;D plan should include some organisational key performance </w:t>
            </w:r>
            <w:proofErr w:type="gramStart"/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indicators</w:t>
            </w:r>
            <w:proofErr w:type="gramEnd"/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and these should cascade through the annual operational plans and annual reports.</w:t>
            </w:r>
          </w:p>
        </w:tc>
        <w:tc>
          <w:tcPr>
            <w:tcW w:w="1276" w:type="dxa"/>
          </w:tcPr>
          <w:p w14:paraId="5AEFCC07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5.3</w:t>
            </w:r>
          </w:p>
        </w:tc>
        <w:tc>
          <w:tcPr>
            <w:tcW w:w="1559" w:type="dxa"/>
          </w:tcPr>
          <w:p w14:paraId="3C731E8E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Important</w:t>
            </w:r>
          </w:p>
        </w:tc>
        <w:tc>
          <w:tcPr>
            <w:tcW w:w="5812" w:type="dxa"/>
          </w:tcPr>
          <w:p w14:paraId="7C5DDFF9" w14:textId="77777777" w:rsidR="00447BB7" w:rsidRPr="001230FA" w:rsidRDefault="0055534A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499E60F7" w14:textId="62BD34DD" w:rsidR="0094549E" w:rsidRPr="001230FA" w:rsidRDefault="004926E8" w:rsidP="00106AB7">
            <w:pPr>
              <w:pStyle w:val="ListParagraph"/>
              <w:numPr>
                <w:ilvl w:val="0"/>
                <w:numId w:val="28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The new R&amp;D Plan will include key per</w:t>
            </w:r>
            <w:r w:rsidR="00D90FA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formance indicators</w:t>
            </w:r>
          </w:p>
          <w:p w14:paraId="25AE96C3" w14:textId="0CB87BAC" w:rsidR="0094549E" w:rsidRPr="001230FA" w:rsidRDefault="002E77F4" w:rsidP="00961D48">
            <w:pPr>
              <w:pStyle w:val="ListParagraph"/>
              <w:numPr>
                <w:ilvl w:val="0"/>
                <w:numId w:val="28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will be developing </w:t>
            </w:r>
            <w:r w:rsidR="001230FA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a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new Monitoring &amp; Evaluation Framework for 2025-2030 to complement the revised </w:t>
            </w:r>
            <w:r w:rsidR="00F4355B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R&amp;D P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lan</w:t>
            </w:r>
          </w:p>
        </w:tc>
      </w:tr>
      <w:tr w:rsidR="00447BB7" w:rsidRPr="00961D48" w14:paraId="20621DE5" w14:textId="4F830D94" w:rsidTr="5CADFDBE">
        <w:trPr>
          <w:cantSplit/>
        </w:trPr>
        <w:tc>
          <w:tcPr>
            <w:tcW w:w="554" w:type="dxa"/>
          </w:tcPr>
          <w:p w14:paraId="5D6D4CB5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3</w:t>
            </w:r>
          </w:p>
        </w:tc>
        <w:tc>
          <w:tcPr>
            <w:tcW w:w="3949" w:type="dxa"/>
          </w:tcPr>
          <w:p w14:paraId="4524A3C1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clearly define and communicate, internally and externally, the scope of Extension Officer Network activities to ensure extension officers focus on agreed FRDC transformation areas.</w:t>
            </w:r>
          </w:p>
        </w:tc>
        <w:tc>
          <w:tcPr>
            <w:tcW w:w="1276" w:type="dxa"/>
          </w:tcPr>
          <w:p w14:paraId="29AB0173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6.6</w:t>
            </w:r>
          </w:p>
        </w:tc>
        <w:tc>
          <w:tcPr>
            <w:tcW w:w="1559" w:type="dxa"/>
          </w:tcPr>
          <w:p w14:paraId="2063668E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Important</w:t>
            </w:r>
          </w:p>
        </w:tc>
        <w:tc>
          <w:tcPr>
            <w:tcW w:w="5812" w:type="dxa"/>
          </w:tcPr>
          <w:p w14:paraId="1655E1F9" w14:textId="77777777" w:rsidR="00AA08DE" w:rsidRPr="001230FA" w:rsidRDefault="000625C0" w:rsidP="5CADFDB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CADFDBE">
              <w:rPr>
                <w:rFonts w:ascii="Open Sans" w:hAnsi="Open Sans" w:cs="Open Sans"/>
                <w:b/>
                <w:bCs/>
                <w:sz w:val="18"/>
                <w:szCs w:val="18"/>
              </w:rPr>
              <w:t>Supported</w:t>
            </w:r>
            <w:r w:rsidR="00DE4DD6" w:rsidRPr="5CADFDB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.  </w:t>
            </w:r>
          </w:p>
          <w:p w14:paraId="10FF3017" w14:textId="77CAD250" w:rsidR="005B3C12" w:rsidRPr="001230FA" w:rsidRDefault="008D10AF" w:rsidP="00CD360C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The design of the Extension Officer Network included a role to </w:t>
            </w:r>
            <w:r w:rsidR="00480BBF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work with large scale or transformation cha</w:t>
            </w:r>
            <w:r w:rsidR="001A2A8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llenges</w:t>
            </w:r>
            <w:r w:rsidR="00A476AB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(involving behaviour change)</w:t>
            </w:r>
            <w:r w:rsidR="00480BBF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as well as </w:t>
            </w:r>
            <w:r w:rsidR="00E7361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tactical</w:t>
            </w:r>
            <w:r w:rsidR="001A2A8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or smaller scale challenges</w:t>
            </w:r>
            <w:r w:rsidR="00E7361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.  Each Extension Officer has a role to support </w:t>
            </w:r>
            <w:r w:rsidR="004F548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one</w:t>
            </w:r>
            <w:r w:rsidR="005F7780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or two</w:t>
            </w:r>
            <w:r w:rsidR="004F548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of </w:t>
            </w:r>
            <w:r w:rsidR="0078123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the </w:t>
            </w:r>
            <w:r w:rsidR="004F548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10 </w:t>
            </w:r>
            <w:r w:rsidR="0078123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</w:t>
            </w:r>
            <w:r w:rsidR="004F5483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strategic focus areas plus other strategic issues as they arise</w:t>
            </w:r>
            <w:r w:rsidR="00B7776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e.g. Gillnets</w:t>
            </w:r>
            <w:r w:rsidR="005F7780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, Futures of Seafood</w:t>
            </w:r>
            <w:r w:rsidR="0047564C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. </w:t>
            </w:r>
          </w:p>
          <w:p w14:paraId="67573B64" w14:textId="1F0A3BB9" w:rsidR="005B3C12" w:rsidRPr="001230FA" w:rsidRDefault="005B3C12" w:rsidP="00897294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The </w:t>
            </w:r>
            <w:r w:rsidR="002D031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is consideration the future of the EON</w:t>
            </w:r>
            <w:r w:rsidR="005C762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which 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highlight</w:t>
            </w:r>
            <w:r w:rsidR="005C762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s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the increasing need and opportunity </w:t>
            </w:r>
            <w:r w:rsidR="00190C2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for the EON to facilitate transformational change given the</w:t>
            </w:r>
            <w:r w:rsidR="00472F6A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ir</w:t>
            </w:r>
            <w:r w:rsidR="00190C2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trusted stakeholders networks</w:t>
            </w:r>
            <w:r w:rsidR="00472F6A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and the importance of bringing people together to </w:t>
            </w:r>
            <w:r w:rsidR="00150D2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ensure research for impact</w:t>
            </w:r>
            <w:r w:rsidR="00190C2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.</w:t>
            </w:r>
          </w:p>
          <w:p w14:paraId="71ACB609" w14:textId="34140DE9" w:rsidR="00FF7E56" w:rsidRPr="001230FA" w:rsidRDefault="005F7780" w:rsidP="00897294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C</w:t>
            </w:r>
            <w:r w:rsidR="005B3C12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o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ntent will be developed for the FRDC website about the</w:t>
            </w:r>
            <w:r w:rsidR="00186E1C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ir transformational roles</w:t>
            </w:r>
            <w:r w:rsidR="006A724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.  The Extension Officers and communications team will </w:t>
            </w:r>
            <w:r w:rsidR="00394D8D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communicate this content </w:t>
            </w:r>
            <w:r w:rsidR="006B022B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to stakeholders.</w:t>
            </w:r>
          </w:p>
        </w:tc>
      </w:tr>
      <w:tr w:rsidR="00447BB7" w:rsidRPr="00961D48" w14:paraId="1CFC0A92" w14:textId="37C1C9E9" w:rsidTr="5CADFDBE">
        <w:trPr>
          <w:cantSplit/>
        </w:trPr>
        <w:tc>
          <w:tcPr>
            <w:tcW w:w="554" w:type="dxa"/>
          </w:tcPr>
          <w:p w14:paraId="6F219887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lastRenderedPageBreak/>
              <w:t>4</w:t>
            </w:r>
          </w:p>
        </w:tc>
        <w:tc>
          <w:tcPr>
            <w:tcW w:w="3949" w:type="dxa"/>
          </w:tcPr>
          <w:p w14:paraId="76E5780A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Progress against the Barnett review of the Indigenous Reference Group needs to be articulated and, where appropriate, any recommendations implemented by FRDC.</w:t>
            </w:r>
          </w:p>
        </w:tc>
        <w:tc>
          <w:tcPr>
            <w:tcW w:w="1276" w:type="dxa"/>
          </w:tcPr>
          <w:p w14:paraId="5C3B015B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7.2.4</w:t>
            </w:r>
          </w:p>
        </w:tc>
        <w:tc>
          <w:tcPr>
            <w:tcW w:w="1559" w:type="dxa"/>
          </w:tcPr>
          <w:p w14:paraId="5EAFE549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74872E0E" w14:textId="77777777" w:rsidR="00447BB7" w:rsidRPr="001230FA" w:rsidRDefault="000625C0" w:rsidP="00961D48">
            <w:pPr>
              <w:rPr>
                <w:rFonts w:ascii="Open Sans" w:hAnsi="Open Sans" w:cs="Open Sans"/>
                <w:b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206BB51B" w14:textId="6472BDFD" w:rsidR="00FF7E56" w:rsidRPr="001230FA" w:rsidRDefault="00D84465" w:rsidP="00FE04FE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bookmarkStart w:id="0" w:name="_Hlk169692178"/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All recommendations from the Barnett review were </w:t>
            </w:r>
            <w:r w:rsidR="00B0303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considered and most were implemented </w:t>
            </w:r>
            <w:r w:rsidR="007F306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into the next iteration of the IRG</w:t>
            </w:r>
            <w:r w:rsidR="001448A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</w:t>
            </w:r>
            <w:bookmarkEnd w:id="0"/>
            <w:r w:rsidR="001448A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(as presented to the Board in April 2023)</w:t>
            </w:r>
            <w:r w:rsidR="007F306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. </w:t>
            </w:r>
            <w:r w:rsidR="00E7639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When the new IRG project is </w:t>
            </w:r>
            <w:r w:rsidR="004B38F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activated,</w:t>
            </w:r>
            <w:r w:rsidR="00E7639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</w:t>
            </w:r>
            <w:r w:rsidR="00D823A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there will be communications around this. The exception to this </w:t>
            </w:r>
            <w:r w:rsidR="004B38F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is</w:t>
            </w:r>
            <w:r w:rsidR="00D823A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two recommendations; that the</w:t>
            </w:r>
            <w:r w:rsidR="00AF6BE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re</w:t>
            </w:r>
            <w:r w:rsidR="00D823A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is Indigenous representation on the Board and </w:t>
            </w:r>
            <w:r w:rsidR="004B38F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establishment of a peak body/representative organisation. While the FRDC is supportive of </w:t>
            </w:r>
            <w:proofErr w:type="gramStart"/>
            <w:r w:rsidR="004B38F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both of these</w:t>
            </w:r>
            <w:proofErr w:type="gramEnd"/>
            <w:r w:rsidR="004B38F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it is not within the remit of the organisation to enact either of these. </w:t>
            </w:r>
          </w:p>
        </w:tc>
      </w:tr>
      <w:tr w:rsidR="00447BB7" w:rsidRPr="00961D48" w14:paraId="5CDA472F" w14:textId="0DCFD3DF" w:rsidTr="5CADFDBE">
        <w:trPr>
          <w:cantSplit/>
        </w:trPr>
        <w:tc>
          <w:tcPr>
            <w:tcW w:w="554" w:type="dxa"/>
          </w:tcPr>
          <w:p w14:paraId="0C2E4FD8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5</w:t>
            </w:r>
          </w:p>
        </w:tc>
        <w:tc>
          <w:tcPr>
            <w:tcW w:w="3949" w:type="dxa"/>
          </w:tcPr>
          <w:p w14:paraId="67B9CBE9" w14:textId="77777777" w:rsidR="00447BB7" w:rsidRPr="001230FA" w:rsidRDefault="00447BB7" w:rsidP="00961D48">
            <w:pPr>
              <w:rPr>
                <w:rFonts w:ascii="Open Sans" w:hAnsi="Open Sans" w:cs="Open Sans"/>
                <w:i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consider the development of a segmentation strategy (particularly within aquaculture) that allows more customisation of delivery of information and R&amp;D outcomes depending on the aspirations, capacity, and capability of individual companies or organisations.</w:t>
            </w:r>
          </w:p>
        </w:tc>
        <w:tc>
          <w:tcPr>
            <w:tcW w:w="1276" w:type="dxa"/>
          </w:tcPr>
          <w:p w14:paraId="5DD09D8F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7.7</w:t>
            </w:r>
          </w:p>
        </w:tc>
        <w:tc>
          <w:tcPr>
            <w:tcW w:w="1559" w:type="dxa"/>
          </w:tcPr>
          <w:p w14:paraId="273950B7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Important</w:t>
            </w:r>
          </w:p>
        </w:tc>
        <w:tc>
          <w:tcPr>
            <w:tcW w:w="5812" w:type="dxa"/>
          </w:tcPr>
          <w:p w14:paraId="2933A9A1" w14:textId="77777777" w:rsidR="00447BB7" w:rsidRPr="001230FA" w:rsidRDefault="000625C0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78FFDC90" w14:textId="18ECE312" w:rsidR="00447BB7" w:rsidRPr="001230FA" w:rsidRDefault="003C5787" w:rsidP="00A2043A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This will be continually developed through the FRDC structures, </w:t>
            </w:r>
            <w:r w:rsidR="001A13E5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particularly the Industry Partnership Agreements, </w:t>
            </w:r>
            <w:r w:rsidR="00E842C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to meet the needs of </w:t>
            </w:r>
            <w:r w:rsidR="003C0AB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specific</w:t>
            </w:r>
            <w:r w:rsidR="00463FED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FRDC stakeholders</w:t>
            </w:r>
          </w:p>
        </w:tc>
      </w:tr>
      <w:tr w:rsidR="00447BB7" w:rsidRPr="00961D48" w14:paraId="07F30B90" w14:textId="1F52FD3D" w:rsidTr="5CADFDBE">
        <w:trPr>
          <w:cantSplit/>
        </w:trPr>
        <w:tc>
          <w:tcPr>
            <w:tcW w:w="554" w:type="dxa"/>
          </w:tcPr>
          <w:p w14:paraId="3CE9B396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6</w:t>
            </w:r>
          </w:p>
        </w:tc>
        <w:tc>
          <w:tcPr>
            <w:tcW w:w="3949" w:type="dxa"/>
          </w:tcPr>
          <w:p w14:paraId="6C9B4F57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should consider using </w:t>
            </w:r>
            <w:r w:rsidRPr="001230FA">
              <w:rPr>
                <w:rFonts w:ascii="Open Sans" w:hAnsi="Open Sans" w:cs="Open Sans"/>
                <w:i/>
                <w:sz w:val="18"/>
                <w:szCs w:val="18"/>
                <w:lang w:val="en-AU"/>
              </w:rPr>
              <w:t>ex-ante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benefit-cost evaluations for some components to optimise allocation of investments across the RD&amp;E portfolio.</w:t>
            </w:r>
          </w:p>
        </w:tc>
        <w:tc>
          <w:tcPr>
            <w:tcW w:w="1276" w:type="dxa"/>
          </w:tcPr>
          <w:p w14:paraId="1D3FB23F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8.2</w:t>
            </w:r>
          </w:p>
        </w:tc>
        <w:tc>
          <w:tcPr>
            <w:tcW w:w="1559" w:type="dxa"/>
          </w:tcPr>
          <w:p w14:paraId="2FA5D54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7971F8CB" w14:textId="77777777" w:rsidR="00447BB7" w:rsidRPr="001230FA" w:rsidRDefault="000625C0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Partial Support</w:t>
            </w:r>
          </w:p>
          <w:p w14:paraId="4DC9C62E" w14:textId="429BF829" w:rsidR="00447BB7" w:rsidRPr="001230FA" w:rsidRDefault="00DB1E3F" w:rsidP="00DB1E3F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will </w:t>
            </w:r>
            <w:r w:rsidR="00E2112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con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sider</w:t>
            </w:r>
            <w:r w:rsidR="000A2AA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this evaluation format and look to apply for programmatic investment rather than at a project level</w:t>
            </w: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</w:t>
            </w:r>
          </w:p>
        </w:tc>
      </w:tr>
      <w:tr w:rsidR="00447BB7" w:rsidRPr="00961D48" w14:paraId="1878AD69" w14:textId="580585CA" w:rsidTr="5CADFDBE">
        <w:trPr>
          <w:cantSplit/>
        </w:trPr>
        <w:tc>
          <w:tcPr>
            <w:tcW w:w="554" w:type="dxa"/>
          </w:tcPr>
          <w:p w14:paraId="120F4AD6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7</w:t>
            </w:r>
          </w:p>
        </w:tc>
        <w:tc>
          <w:tcPr>
            <w:tcW w:w="3949" w:type="dxa"/>
          </w:tcPr>
          <w:p w14:paraId="6FB6BE1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encourage Industry Partnership Agreements to invest in impact assessment on a regular basis to inform their future investments.</w:t>
            </w:r>
          </w:p>
        </w:tc>
        <w:tc>
          <w:tcPr>
            <w:tcW w:w="1276" w:type="dxa"/>
          </w:tcPr>
          <w:p w14:paraId="50A6999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8.3</w:t>
            </w:r>
          </w:p>
        </w:tc>
        <w:tc>
          <w:tcPr>
            <w:tcW w:w="1559" w:type="dxa"/>
          </w:tcPr>
          <w:p w14:paraId="225E589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35AEC6A6" w14:textId="77777777" w:rsidR="00447BB7" w:rsidRPr="001230FA" w:rsidRDefault="00723391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66EA6A13" w14:textId="60C6F2C0" w:rsidR="00447BB7" w:rsidRPr="001230FA" w:rsidRDefault="002072C4" w:rsidP="00463FED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will </w:t>
            </w:r>
            <w:r w:rsidR="00C709E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revise the </w:t>
            </w:r>
            <w:r w:rsidR="00112E0A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Industry Partnership Agreement</w:t>
            </w:r>
            <w:r w:rsidR="00A24727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and process to include the ability to </w:t>
            </w:r>
            <w:r w:rsidR="003B1B9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review the IPA and its investments</w:t>
            </w:r>
            <w:r w:rsidR="0015399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.</w:t>
            </w:r>
          </w:p>
        </w:tc>
      </w:tr>
      <w:tr w:rsidR="00447BB7" w:rsidRPr="00961D48" w14:paraId="393BB723" w14:textId="1CF74417" w:rsidTr="5CADFDBE">
        <w:trPr>
          <w:cantSplit/>
        </w:trPr>
        <w:tc>
          <w:tcPr>
            <w:tcW w:w="554" w:type="dxa"/>
          </w:tcPr>
          <w:p w14:paraId="68A15CD9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</w:t>
            </w:r>
          </w:p>
        </w:tc>
        <w:tc>
          <w:tcPr>
            <w:tcW w:w="3949" w:type="dxa"/>
          </w:tcPr>
          <w:p w14:paraId="1173EA85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could consider changing to conducting impact assessments of projects using a cluster approach where projects from one of the five R&amp;D strategic outcomes (or other clusters as appropriate) are randomly selected for assessment each year and on a rolling basis.</w:t>
            </w:r>
          </w:p>
        </w:tc>
        <w:tc>
          <w:tcPr>
            <w:tcW w:w="1276" w:type="dxa"/>
          </w:tcPr>
          <w:p w14:paraId="26F8A332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8.4</w:t>
            </w:r>
          </w:p>
        </w:tc>
        <w:tc>
          <w:tcPr>
            <w:tcW w:w="1559" w:type="dxa"/>
          </w:tcPr>
          <w:p w14:paraId="2B997574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152F8FB3" w14:textId="77777777" w:rsidR="00447BB7" w:rsidRPr="001230FA" w:rsidRDefault="00723391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54FBDFF9" w14:textId="3B1C5AF3" w:rsidR="00447BB7" w:rsidRPr="001230FA" w:rsidRDefault="003C14F0" w:rsidP="00EC0858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As part of the </w:t>
            </w:r>
            <w:r w:rsidR="00C85E2F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review of the </w:t>
            </w:r>
            <w:r w:rsidR="00CE63DC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new </w:t>
            </w:r>
            <w:r w:rsidR="00AF78F1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impact assess</w:t>
            </w:r>
            <w:r w:rsidR="00EF638E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ment provider, </w:t>
            </w:r>
            <w:r w:rsidR="00815CD2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will </w:t>
            </w:r>
            <w:r w:rsidR="00B762F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scope options for </w:t>
            </w:r>
            <w:r w:rsidR="00DA585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evaluation </w:t>
            </w:r>
            <w:r w:rsidR="00174D64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using clusters as recommended.</w:t>
            </w:r>
          </w:p>
        </w:tc>
      </w:tr>
      <w:tr w:rsidR="00447BB7" w:rsidRPr="00961D48" w14:paraId="56E3DAAC" w14:textId="56479563" w:rsidTr="5CADFDBE">
        <w:trPr>
          <w:cantSplit/>
        </w:trPr>
        <w:tc>
          <w:tcPr>
            <w:tcW w:w="554" w:type="dxa"/>
          </w:tcPr>
          <w:p w14:paraId="42ED84F1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lastRenderedPageBreak/>
              <w:t>9</w:t>
            </w:r>
          </w:p>
        </w:tc>
        <w:tc>
          <w:tcPr>
            <w:tcW w:w="3949" w:type="dxa"/>
          </w:tcPr>
          <w:p w14:paraId="2D11F97A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ask its impact assessment providers to provide more detailed commentary on the likely distribution of benefits from projects between sectors and supply chain stages, notably aquaculture, wild-catch, recreational fishing, Indigenous, wholesale, processing, export, and retail.</w:t>
            </w:r>
          </w:p>
        </w:tc>
        <w:tc>
          <w:tcPr>
            <w:tcW w:w="1276" w:type="dxa"/>
          </w:tcPr>
          <w:p w14:paraId="259C94B0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8.4</w:t>
            </w:r>
          </w:p>
        </w:tc>
        <w:tc>
          <w:tcPr>
            <w:tcW w:w="1559" w:type="dxa"/>
          </w:tcPr>
          <w:p w14:paraId="0300F5D7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42E3315D" w14:textId="77777777" w:rsidR="00447BB7" w:rsidRPr="001230FA" w:rsidRDefault="00723391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23D55F0C" w14:textId="135B0191" w:rsidR="00077D89" w:rsidRPr="001230FA" w:rsidRDefault="009A4948" w:rsidP="00077D89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has engaged a new provider (GHD)</w:t>
            </w:r>
            <w:r w:rsidR="0044139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with a review point after the first year to confirm success</w:t>
            </w:r>
          </w:p>
          <w:p w14:paraId="133AD4DB" w14:textId="0E2B7DE6" w:rsidR="00447BB7" w:rsidRPr="001230FA" w:rsidRDefault="009A4948" w:rsidP="00077D89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will ensure that </w:t>
            </w:r>
            <w:r w:rsidR="00DF1AC8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part of the scope includes implementing this recommendation</w:t>
            </w:r>
          </w:p>
        </w:tc>
      </w:tr>
      <w:tr w:rsidR="00447BB7" w:rsidRPr="00961D48" w14:paraId="1DB38873" w14:textId="056C73D9" w:rsidTr="5CADFDBE">
        <w:trPr>
          <w:cantSplit/>
        </w:trPr>
        <w:tc>
          <w:tcPr>
            <w:tcW w:w="554" w:type="dxa"/>
          </w:tcPr>
          <w:p w14:paraId="7E48E0B5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10</w:t>
            </w:r>
          </w:p>
        </w:tc>
        <w:tc>
          <w:tcPr>
            <w:tcW w:w="3949" w:type="dxa"/>
          </w:tcPr>
          <w:p w14:paraId="4CE189FF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FRDC should report the aggregate results from its impact assessments to stakeholders using clear, simple language in its annual report (notably the benefit-cost ratio result in the key performance indicator table), in presentations to stakeholders, in communications to stakeholders and in a single, easy to find tab on the FRDC website. This should include case studies where appropriate.</w:t>
            </w:r>
          </w:p>
        </w:tc>
        <w:tc>
          <w:tcPr>
            <w:tcW w:w="1276" w:type="dxa"/>
          </w:tcPr>
          <w:p w14:paraId="0377DA6D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8.6</w:t>
            </w:r>
          </w:p>
        </w:tc>
        <w:tc>
          <w:tcPr>
            <w:tcW w:w="1559" w:type="dxa"/>
          </w:tcPr>
          <w:p w14:paraId="28033275" w14:textId="77777777" w:rsidR="00447BB7" w:rsidRPr="001230FA" w:rsidRDefault="00447BB7" w:rsidP="00961D48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Better practice</w:t>
            </w:r>
          </w:p>
        </w:tc>
        <w:tc>
          <w:tcPr>
            <w:tcW w:w="5812" w:type="dxa"/>
          </w:tcPr>
          <w:p w14:paraId="77EEEF4B" w14:textId="77777777" w:rsidR="00447BB7" w:rsidRPr="001230FA" w:rsidRDefault="00723391" w:rsidP="00961D48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b/>
                <w:sz w:val="18"/>
                <w:szCs w:val="18"/>
                <w:lang w:val="en-AU"/>
              </w:rPr>
              <w:t>Supported</w:t>
            </w:r>
          </w:p>
          <w:p w14:paraId="2CA505E7" w14:textId="60C21D72" w:rsidR="00447BB7" w:rsidRPr="001230FA" w:rsidRDefault="00857F7C" w:rsidP="00E3269D">
            <w:pPr>
              <w:pStyle w:val="ListParagraph"/>
              <w:numPr>
                <w:ilvl w:val="0"/>
                <w:numId w:val="27"/>
              </w:num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FRDC has </w:t>
            </w:r>
            <w:r w:rsidR="00D1339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approved this project, with the condition that</w:t>
            </w:r>
            <w:r w:rsidR="00FF44FC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an </w:t>
            </w:r>
            <w:r w:rsidR="00437B09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aggregate</w:t>
            </w:r>
            <w:r w:rsidR="00FF44FC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report of multi-year results </w:t>
            </w:r>
            <w:r w:rsidR="00D13396" w:rsidRPr="001230FA">
              <w:rPr>
                <w:rFonts w:ascii="Open Sans" w:hAnsi="Open Sans" w:cs="Open Sans"/>
                <w:sz w:val="18"/>
                <w:szCs w:val="18"/>
                <w:lang w:val="en-AU"/>
              </w:rPr>
              <w:t>be provided</w:t>
            </w:r>
          </w:p>
        </w:tc>
      </w:tr>
    </w:tbl>
    <w:p w14:paraId="0B86645E" w14:textId="77777777" w:rsidR="00961D48" w:rsidRPr="001230FA" w:rsidRDefault="00961D48" w:rsidP="00961D48">
      <w:pPr>
        <w:rPr>
          <w:rFonts w:ascii="Open Sans" w:hAnsi="Open Sans" w:cs="Open Sans"/>
          <w:sz w:val="18"/>
          <w:szCs w:val="18"/>
          <w:lang w:val="en-AU"/>
        </w:rPr>
      </w:pPr>
    </w:p>
    <w:p w14:paraId="0C81B2CB" w14:textId="77777777" w:rsidR="00961D48" w:rsidRPr="001230FA" w:rsidRDefault="00961D48" w:rsidP="00947386">
      <w:pPr>
        <w:rPr>
          <w:rFonts w:ascii="Open Sans" w:hAnsi="Open Sans" w:cs="Open Sans"/>
          <w:sz w:val="18"/>
          <w:szCs w:val="18"/>
          <w:lang w:val="en-AU"/>
        </w:rPr>
      </w:pPr>
    </w:p>
    <w:sectPr w:rsidR="00961D48" w:rsidRPr="001230FA" w:rsidSect="001230FA">
      <w:footerReference w:type="default" r:id="rId13"/>
      <w:pgSz w:w="15840" w:h="12240" w:orient="landscape" w:code="1"/>
      <w:pgMar w:top="1418" w:right="1440" w:bottom="851" w:left="1440" w:header="720" w:footer="397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D196" w14:textId="77777777" w:rsidR="00122916" w:rsidRDefault="00122916">
      <w:r>
        <w:separator/>
      </w:r>
    </w:p>
  </w:endnote>
  <w:endnote w:type="continuationSeparator" w:id="0">
    <w:p w14:paraId="575FA9F1" w14:textId="77777777" w:rsidR="00122916" w:rsidRDefault="00122916">
      <w:r>
        <w:continuationSeparator/>
      </w:r>
    </w:p>
  </w:endnote>
  <w:endnote w:type="continuationNotice" w:id="1">
    <w:p w14:paraId="12C64A9D" w14:textId="77777777" w:rsidR="00122916" w:rsidRDefault="00122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</w:rPr>
      <w:id w:val="1325925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</w:rPr>
          <w:id w:val="565050523"/>
          <w:docPartObj>
            <w:docPartGallery w:val="Page Numbers (Top of Page)"/>
            <w:docPartUnique/>
          </w:docPartObj>
        </w:sdtPr>
        <w:sdtContent>
          <w:p w14:paraId="5CC1E814" w14:textId="778072D0" w:rsidR="005339CE" w:rsidRPr="003A4410" w:rsidRDefault="005339CE" w:rsidP="005339CE">
            <w:pPr>
              <w:pStyle w:val="Footer"/>
              <w:jc w:val="right"/>
              <w:rPr>
                <w:rFonts w:ascii="Open Sans" w:hAnsi="Open Sans" w:cs="Open Sans"/>
              </w:rPr>
            </w:pPr>
            <w:r w:rsidRPr="003A4410">
              <w:rPr>
                <w:rFonts w:ascii="Open Sans" w:hAnsi="Open Sans" w:cs="Open Sans"/>
              </w:rPr>
              <w:t xml:space="preserve">Page </w:t>
            </w:r>
            <w:r w:rsidRPr="003A4410">
              <w:rPr>
                <w:rFonts w:ascii="Open Sans" w:hAnsi="Open Sans" w:cs="Open Sans"/>
                <w:b/>
              </w:rPr>
              <w:fldChar w:fldCharType="begin"/>
            </w:r>
            <w:r w:rsidRPr="003A4410">
              <w:rPr>
                <w:rFonts w:ascii="Open Sans" w:hAnsi="Open Sans" w:cs="Open Sans"/>
                <w:b/>
              </w:rPr>
              <w:instrText xml:space="preserve"> PAGE </w:instrText>
            </w:r>
            <w:r w:rsidRPr="003A4410">
              <w:rPr>
                <w:rFonts w:ascii="Open Sans" w:hAnsi="Open Sans" w:cs="Open Sans"/>
                <w:b/>
              </w:rPr>
              <w:fldChar w:fldCharType="separate"/>
            </w:r>
            <w:r w:rsidR="003A5C51" w:rsidRPr="003A4410">
              <w:rPr>
                <w:rFonts w:ascii="Open Sans" w:hAnsi="Open Sans" w:cs="Open Sans"/>
                <w:b/>
              </w:rPr>
              <w:t>1</w:t>
            </w:r>
            <w:r w:rsidRPr="003A4410">
              <w:rPr>
                <w:rFonts w:ascii="Open Sans" w:hAnsi="Open Sans" w:cs="Open Sans"/>
                <w:b/>
              </w:rPr>
              <w:fldChar w:fldCharType="end"/>
            </w:r>
            <w:r w:rsidRPr="003A4410">
              <w:rPr>
                <w:rFonts w:ascii="Open Sans" w:hAnsi="Open Sans" w:cs="Open Sans"/>
              </w:rPr>
              <w:t xml:space="preserve"> of </w:t>
            </w:r>
            <w:r w:rsidRPr="003A4410">
              <w:rPr>
                <w:rFonts w:ascii="Open Sans" w:hAnsi="Open Sans" w:cs="Open Sans"/>
                <w:b/>
              </w:rPr>
              <w:fldChar w:fldCharType="begin"/>
            </w:r>
            <w:r w:rsidRPr="003A4410">
              <w:rPr>
                <w:rFonts w:ascii="Open Sans" w:hAnsi="Open Sans" w:cs="Open Sans"/>
                <w:b/>
              </w:rPr>
              <w:instrText xml:space="preserve"> NUMPAGES  </w:instrText>
            </w:r>
            <w:r w:rsidRPr="003A4410">
              <w:rPr>
                <w:rFonts w:ascii="Open Sans" w:hAnsi="Open Sans" w:cs="Open Sans"/>
                <w:b/>
              </w:rPr>
              <w:fldChar w:fldCharType="separate"/>
            </w:r>
            <w:r w:rsidR="003A5C51" w:rsidRPr="003A4410">
              <w:rPr>
                <w:rFonts w:ascii="Open Sans" w:hAnsi="Open Sans" w:cs="Open Sans"/>
                <w:b/>
              </w:rPr>
              <w:t>1</w:t>
            </w:r>
            <w:r w:rsidRPr="003A4410">
              <w:rPr>
                <w:rFonts w:ascii="Open Sans" w:hAnsi="Open Sans" w:cs="Open Sans"/>
                <w:b/>
              </w:rPr>
              <w:fldChar w:fldCharType="end"/>
            </w:r>
          </w:p>
        </w:sdtContent>
      </w:sdt>
    </w:sdtContent>
  </w:sdt>
  <w:p w14:paraId="778B864D" w14:textId="77777777" w:rsidR="00107B5E" w:rsidRPr="005339CE" w:rsidRDefault="00107B5E" w:rsidP="0053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99E09" w14:textId="77777777" w:rsidR="00122916" w:rsidRDefault="00122916">
      <w:r>
        <w:separator/>
      </w:r>
    </w:p>
  </w:footnote>
  <w:footnote w:type="continuationSeparator" w:id="0">
    <w:p w14:paraId="69618D84" w14:textId="77777777" w:rsidR="00122916" w:rsidRDefault="00122916">
      <w:r>
        <w:continuationSeparator/>
      </w:r>
    </w:p>
  </w:footnote>
  <w:footnote w:type="continuationNotice" w:id="1">
    <w:p w14:paraId="495F0D13" w14:textId="77777777" w:rsidR="00122916" w:rsidRDefault="00122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2659C"/>
    <w:multiLevelType w:val="hybridMultilevel"/>
    <w:tmpl w:val="B4989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486C"/>
    <w:multiLevelType w:val="hybridMultilevel"/>
    <w:tmpl w:val="27F2C0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630"/>
    <w:multiLevelType w:val="hybridMultilevel"/>
    <w:tmpl w:val="F8D83D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71789A"/>
    <w:multiLevelType w:val="hybridMultilevel"/>
    <w:tmpl w:val="D722DFAE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C6B603A"/>
    <w:multiLevelType w:val="hybridMultilevel"/>
    <w:tmpl w:val="B8C02184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FCF01D2"/>
    <w:multiLevelType w:val="hybridMultilevel"/>
    <w:tmpl w:val="F402B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E42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234659"/>
    <w:multiLevelType w:val="hybridMultilevel"/>
    <w:tmpl w:val="24C856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B785884"/>
    <w:multiLevelType w:val="hybridMultilevel"/>
    <w:tmpl w:val="1BBEA3A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F86D9C"/>
    <w:multiLevelType w:val="hybridMultilevel"/>
    <w:tmpl w:val="6ACEE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97450"/>
    <w:multiLevelType w:val="hybridMultilevel"/>
    <w:tmpl w:val="D680AA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519AE"/>
    <w:multiLevelType w:val="hybridMultilevel"/>
    <w:tmpl w:val="9D9E47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526934"/>
    <w:multiLevelType w:val="hybridMultilevel"/>
    <w:tmpl w:val="EABA5FCE"/>
    <w:lvl w:ilvl="0" w:tplc="1126415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42DD6"/>
    <w:multiLevelType w:val="hybridMultilevel"/>
    <w:tmpl w:val="5964BD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A933B0F"/>
    <w:multiLevelType w:val="hybridMultilevel"/>
    <w:tmpl w:val="DC52D748"/>
    <w:lvl w:ilvl="0" w:tplc="4800809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87452"/>
    <w:multiLevelType w:val="hybridMultilevel"/>
    <w:tmpl w:val="7E5C1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D2130"/>
    <w:multiLevelType w:val="hybridMultilevel"/>
    <w:tmpl w:val="EC60CE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1CB2189"/>
    <w:multiLevelType w:val="hybridMultilevel"/>
    <w:tmpl w:val="61DC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840D3"/>
    <w:multiLevelType w:val="hybridMultilevel"/>
    <w:tmpl w:val="41142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74D0B"/>
    <w:multiLevelType w:val="hybridMultilevel"/>
    <w:tmpl w:val="CE82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955F5"/>
    <w:multiLevelType w:val="hybridMultilevel"/>
    <w:tmpl w:val="9D9E47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3F71E1"/>
    <w:multiLevelType w:val="hybridMultilevel"/>
    <w:tmpl w:val="233AC2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1440DF6"/>
    <w:multiLevelType w:val="hybridMultilevel"/>
    <w:tmpl w:val="A49C9270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762F491B"/>
    <w:multiLevelType w:val="hybridMultilevel"/>
    <w:tmpl w:val="AA32E2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843CD"/>
    <w:multiLevelType w:val="hybridMultilevel"/>
    <w:tmpl w:val="A4FCE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17F34"/>
    <w:multiLevelType w:val="hybridMultilevel"/>
    <w:tmpl w:val="9EA0D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E432D"/>
    <w:multiLevelType w:val="hybridMultilevel"/>
    <w:tmpl w:val="B336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1398E"/>
    <w:multiLevelType w:val="hybridMultilevel"/>
    <w:tmpl w:val="6E66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8243">
    <w:abstractNumId w:val="24"/>
  </w:num>
  <w:num w:numId="2" w16cid:durableId="960695461">
    <w:abstractNumId w:val="4"/>
  </w:num>
  <w:num w:numId="3" w16cid:durableId="14780341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41948107">
    <w:abstractNumId w:val="26"/>
  </w:num>
  <w:num w:numId="5" w16cid:durableId="2130975002">
    <w:abstractNumId w:val="15"/>
  </w:num>
  <w:num w:numId="6" w16cid:durableId="137305978">
    <w:abstractNumId w:val="11"/>
  </w:num>
  <w:num w:numId="7" w16cid:durableId="1035737313">
    <w:abstractNumId w:val="16"/>
  </w:num>
  <w:num w:numId="8" w16cid:durableId="2016035954">
    <w:abstractNumId w:val="7"/>
  </w:num>
  <w:num w:numId="9" w16cid:durableId="880900364">
    <w:abstractNumId w:val="23"/>
  </w:num>
  <w:num w:numId="10" w16cid:durableId="196817559">
    <w:abstractNumId w:val="5"/>
  </w:num>
  <w:num w:numId="11" w16cid:durableId="1656299061">
    <w:abstractNumId w:val="9"/>
  </w:num>
  <w:num w:numId="12" w16cid:durableId="687559083">
    <w:abstractNumId w:val="12"/>
  </w:num>
  <w:num w:numId="13" w16cid:durableId="513224002">
    <w:abstractNumId w:val="1"/>
  </w:num>
  <w:num w:numId="14" w16cid:durableId="8069977">
    <w:abstractNumId w:val="17"/>
  </w:num>
  <w:num w:numId="15" w16cid:durableId="870726326">
    <w:abstractNumId w:val="18"/>
  </w:num>
  <w:num w:numId="16" w16cid:durableId="613295265">
    <w:abstractNumId w:val="21"/>
  </w:num>
  <w:num w:numId="17" w16cid:durableId="1089472390">
    <w:abstractNumId w:val="10"/>
  </w:num>
  <w:num w:numId="18" w16cid:durableId="416290092">
    <w:abstractNumId w:val="8"/>
  </w:num>
  <w:num w:numId="19" w16cid:durableId="1361397198">
    <w:abstractNumId w:val="14"/>
  </w:num>
  <w:num w:numId="20" w16cid:durableId="668024085">
    <w:abstractNumId w:val="3"/>
  </w:num>
  <w:num w:numId="21" w16cid:durableId="1414354174">
    <w:abstractNumId w:val="22"/>
  </w:num>
  <w:num w:numId="22" w16cid:durableId="2027318975">
    <w:abstractNumId w:val="27"/>
  </w:num>
  <w:num w:numId="23" w16cid:durableId="125659896">
    <w:abstractNumId w:val="2"/>
  </w:num>
  <w:num w:numId="24" w16cid:durableId="1641113949">
    <w:abstractNumId w:val="25"/>
  </w:num>
  <w:num w:numId="25" w16cid:durableId="1128933187">
    <w:abstractNumId w:val="28"/>
  </w:num>
  <w:num w:numId="26" w16cid:durableId="64647362">
    <w:abstractNumId w:val="13"/>
  </w:num>
  <w:num w:numId="27" w16cid:durableId="663749673">
    <w:abstractNumId w:val="19"/>
  </w:num>
  <w:num w:numId="28" w16cid:durableId="1209145794">
    <w:abstractNumId w:val="20"/>
  </w:num>
  <w:num w:numId="29" w16cid:durableId="52313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6B"/>
    <w:rsid w:val="00001882"/>
    <w:rsid w:val="000018F8"/>
    <w:rsid w:val="00001FEE"/>
    <w:rsid w:val="000020AB"/>
    <w:rsid w:val="00013788"/>
    <w:rsid w:val="000146F7"/>
    <w:rsid w:val="00022449"/>
    <w:rsid w:val="00023F87"/>
    <w:rsid w:val="00024BB1"/>
    <w:rsid w:val="00025C67"/>
    <w:rsid w:val="00026FA9"/>
    <w:rsid w:val="000308F0"/>
    <w:rsid w:val="000346E4"/>
    <w:rsid w:val="00040A91"/>
    <w:rsid w:val="00042852"/>
    <w:rsid w:val="00043BC0"/>
    <w:rsid w:val="000444FD"/>
    <w:rsid w:val="00044657"/>
    <w:rsid w:val="00044C70"/>
    <w:rsid w:val="0005564D"/>
    <w:rsid w:val="00055890"/>
    <w:rsid w:val="000617F5"/>
    <w:rsid w:val="000625C0"/>
    <w:rsid w:val="000627A3"/>
    <w:rsid w:val="000631FD"/>
    <w:rsid w:val="00064900"/>
    <w:rsid w:val="000665DA"/>
    <w:rsid w:val="00072D78"/>
    <w:rsid w:val="00075152"/>
    <w:rsid w:val="00077D89"/>
    <w:rsid w:val="0008650E"/>
    <w:rsid w:val="000908CA"/>
    <w:rsid w:val="000916FC"/>
    <w:rsid w:val="00092109"/>
    <w:rsid w:val="000927D4"/>
    <w:rsid w:val="000941DC"/>
    <w:rsid w:val="00095C39"/>
    <w:rsid w:val="000A0E96"/>
    <w:rsid w:val="000A2AA1"/>
    <w:rsid w:val="000A4443"/>
    <w:rsid w:val="000A656A"/>
    <w:rsid w:val="000B4984"/>
    <w:rsid w:val="000B54FF"/>
    <w:rsid w:val="000C083D"/>
    <w:rsid w:val="000C45C0"/>
    <w:rsid w:val="000C65BB"/>
    <w:rsid w:val="000D1CDD"/>
    <w:rsid w:val="000D3807"/>
    <w:rsid w:val="000D484D"/>
    <w:rsid w:val="000D4D4F"/>
    <w:rsid w:val="000D7759"/>
    <w:rsid w:val="000D78F4"/>
    <w:rsid w:val="000E4AB2"/>
    <w:rsid w:val="000F1310"/>
    <w:rsid w:val="000F2E41"/>
    <w:rsid w:val="000F6031"/>
    <w:rsid w:val="000F664C"/>
    <w:rsid w:val="000F6C3E"/>
    <w:rsid w:val="00100956"/>
    <w:rsid w:val="00101048"/>
    <w:rsid w:val="00103631"/>
    <w:rsid w:val="0010535C"/>
    <w:rsid w:val="00105521"/>
    <w:rsid w:val="001059A4"/>
    <w:rsid w:val="00106AB7"/>
    <w:rsid w:val="00107B5E"/>
    <w:rsid w:val="00110770"/>
    <w:rsid w:val="00112E0A"/>
    <w:rsid w:val="001161D4"/>
    <w:rsid w:val="00120CF0"/>
    <w:rsid w:val="0012100E"/>
    <w:rsid w:val="00122916"/>
    <w:rsid w:val="001230FA"/>
    <w:rsid w:val="00125667"/>
    <w:rsid w:val="00125AC7"/>
    <w:rsid w:val="00130D20"/>
    <w:rsid w:val="00132D33"/>
    <w:rsid w:val="001335CD"/>
    <w:rsid w:val="00134B3A"/>
    <w:rsid w:val="0014326C"/>
    <w:rsid w:val="001447DD"/>
    <w:rsid w:val="001448A8"/>
    <w:rsid w:val="00146C66"/>
    <w:rsid w:val="0014764D"/>
    <w:rsid w:val="00150D29"/>
    <w:rsid w:val="00151509"/>
    <w:rsid w:val="00152D57"/>
    <w:rsid w:val="00152E8C"/>
    <w:rsid w:val="00153994"/>
    <w:rsid w:val="001572A9"/>
    <w:rsid w:val="001625CE"/>
    <w:rsid w:val="00167A84"/>
    <w:rsid w:val="00167E21"/>
    <w:rsid w:val="0017470F"/>
    <w:rsid w:val="00174AD1"/>
    <w:rsid w:val="00174D64"/>
    <w:rsid w:val="001802B9"/>
    <w:rsid w:val="00181D1A"/>
    <w:rsid w:val="00182090"/>
    <w:rsid w:val="00186E1C"/>
    <w:rsid w:val="00187633"/>
    <w:rsid w:val="001908BF"/>
    <w:rsid w:val="00190C21"/>
    <w:rsid w:val="001914EB"/>
    <w:rsid w:val="00194BF2"/>
    <w:rsid w:val="001950A2"/>
    <w:rsid w:val="00197FDF"/>
    <w:rsid w:val="001A1176"/>
    <w:rsid w:val="001A13E5"/>
    <w:rsid w:val="001A2A89"/>
    <w:rsid w:val="001A59FE"/>
    <w:rsid w:val="001A6296"/>
    <w:rsid w:val="001B1366"/>
    <w:rsid w:val="001C0CE8"/>
    <w:rsid w:val="001C509D"/>
    <w:rsid w:val="001C5BE8"/>
    <w:rsid w:val="001D04D9"/>
    <w:rsid w:val="001D0649"/>
    <w:rsid w:val="001D0C33"/>
    <w:rsid w:val="001E3CA1"/>
    <w:rsid w:val="001E4C11"/>
    <w:rsid w:val="001F2A95"/>
    <w:rsid w:val="001F3DAB"/>
    <w:rsid w:val="001F4CCD"/>
    <w:rsid w:val="001F5058"/>
    <w:rsid w:val="001F5AE0"/>
    <w:rsid w:val="001F6044"/>
    <w:rsid w:val="002018E4"/>
    <w:rsid w:val="00201B91"/>
    <w:rsid w:val="00204796"/>
    <w:rsid w:val="002072C4"/>
    <w:rsid w:val="0021111E"/>
    <w:rsid w:val="00213384"/>
    <w:rsid w:val="00213F63"/>
    <w:rsid w:val="0021793A"/>
    <w:rsid w:val="00223DCC"/>
    <w:rsid w:val="002272D9"/>
    <w:rsid w:val="00230E06"/>
    <w:rsid w:val="00230F50"/>
    <w:rsid w:val="00231612"/>
    <w:rsid w:val="0023336F"/>
    <w:rsid w:val="002418F0"/>
    <w:rsid w:val="002421E4"/>
    <w:rsid w:val="00244732"/>
    <w:rsid w:val="002511EC"/>
    <w:rsid w:val="0025193D"/>
    <w:rsid w:val="00260EA0"/>
    <w:rsid w:val="002626AE"/>
    <w:rsid w:val="00262B26"/>
    <w:rsid w:val="0026681E"/>
    <w:rsid w:val="00267135"/>
    <w:rsid w:val="002675D6"/>
    <w:rsid w:val="00274858"/>
    <w:rsid w:val="002756B5"/>
    <w:rsid w:val="00283553"/>
    <w:rsid w:val="00285F8F"/>
    <w:rsid w:val="00286B1C"/>
    <w:rsid w:val="00293BB1"/>
    <w:rsid w:val="002942A8"/>
    <w:rsid w:val="00294647"/>
    <w:rsid w:val="002A1591"/>
    <w:rsid w:val="002A2471"/>
    <w:rsid w:val="002A301B"/>
    <w:rsid w:val="002A336F"/>
    <w:rsid w:val="002A603A"/>
    <w:rsid w:val="002A7A3E"/>
    <w:rsid w:val="002B2F72"/>
    <w:rsid w:val="002B3A4D"/>
    <w:rsid w:val="002B45EF"/>
    <w:rsid w:val="002C49C3"/>
    <w:rsid w:val="002C4CDB"/>
    <w:rsid w:val="002C7A97"/>
    <w:rsid w:val="002C7F73"/>
    <w:rsid w:val="002D016F"/>
    <w:rsid w:val="002D0311"/>
    <w:rsid w:val="002D07E5"/>
    <w:rsid w:val="002D2416"/>
    <w:rsid w:val="002D41BB"/>
    <w:rsid w:val="002D4F54"/>
    <w:rsid w:val="002E0653"/>
    <w:rsid w:val="002E273A"/>
    <w:rsid w:val="002E5C83"/>
    <w:rsid w:val="002E77F4"/>
    <w:rsid w:val="002E7FA5"/>
    <w:rsid w:val="002F3A8B"/>
    <w:rsid w:val="00305E07"/>
    <w:rsid w:val="003068DF"/>
    <w:rsid w:val="00311B98"/>
    <w:rsid w:val="00314C6A"/>
    <w:rsid w:val="00315537"/>
    <w:rsid w:val="00315CE3"/>
    <w:rsid w:val="003174A3"/>
    <w:rsid w:val="003214FC"/>
    <w:rsid w:val="0032261E"/>
    <w:rsid w:val="0032581F"/>
    <w:rsid w:val="0032737F"/>
    <w:rsid w:val="00330555"/>
    <w:rsid w:val="003326FE"/>
    <w:rsid w:val="00343610"/>
    <w:rsid w:val="00343900"/>
    <w:rsid w:val="003474E9"/>
    <w:rsid w:val="00350A56"/>
    <w:rsid w:val="00353805"/>
    <w:rsid w:val="0035755C"/>
    <w:rsid w:val="0036019C"/>
    <w:rsid w:val="00361C81"/>
    <w:rsid w:val="0036215B"/>
    <w:rsid w:val="003623FA"/>
    <w:rsid w:val="00370498"/>
    <w:rsid w:val="0037087E"/>
    <w:rsid w:val="003712FB"/>
    <w:rsid w:val="00372119"/>
    <w:rsid w:val="00372756"/>
    <w:rsid w:val="00373CB2"/>
    <w:rsid w:val="00376EF4"/>
    <w:rsid w:val="00380F63"/>
    <w:rsid w:val="0038631F"/>
    <w:rsid w:val="003904B0"/>
    <w:rsid w:val="00390F7B"/>
    <w:rsid w:val="0039196E"/>
    <w:rsid w:val="00392A53"/>
    <w:rsid w:val="003948FE"/>
    <w:rsid w:val="00394D8D"/>
    <w:rsid w:val="003A3316"/>
    <w:rsid w:val="003A3809"/>
    <w:rsid w:val="003A4410"/>
    <w:rsid w:val="003A5C51"/>
    <w:rsid w:val="003A63EE"/>
    <w:rsid w:val="003B1B9A"/>
    <w:rsid w:val="003B1B9E"/>
    <w:rsid w:val="003B5C02"/>
    <w:rsid w:val="003C0516"/>
    <w:rsid w:val="003C0AB4"/>
    <w:rsid w:val="003C14F0"/>
    <w:rsid w:val="003C1F57"/>
    <w:rsid w:val="003C3062"/>
    <w:rsid w:val="003C3788"/>
    <w:rsid w:val="003C394D"/>
    <w:rsid w:val="003C5787"/>
    <w:rsid w:val="003C6205"/>
    <w:rsid w:val="003C781D"/>
    <w:rsid w:val="003D1399"/>
    <w:rsid w:val="003D1DCC"/>
    <w:rsid w:val="003D2053"/>
    <w:rsid w:val="003D24CA"/>
    <w:rsid w:val="003E04BD"/>
    <w:rsid w:val="003E1DF5"/>
    <w:rsid w:val="003E2DD6"/>
    <w:rsid w:val="003E5D13"/>
    <w:rsid w:val="003E7484"/>
    <w:rsid w:val="003F4BEA"/>
    <w:rsid w:val="003F4F0E"/>
    <w:rsid w:val="003F5FCF"/>
    <w:rsid w:val="003F7345"/>
    <w:rsid w:val="00400D4C"/>
    <w:rsid w:val="00401A19"/>
    <w:rsid w:val="00407DB7"/>
    <w:rsid w:val="00414A47"/>
    <w:rsid w:val="00416627"/>
    <w:rsid w:val="004210D4"/>
    <w:rsid w:val="00427ABF"/>
    <w:rsid w:val="004309C8"/>
    <w:rsid w:val="00430C3A"/>
    <w:rsid w:val="0043382E"/>
    <w:rsid w:val="00435426"/>
    <w:rsid w:val="00437B09"/>
    <w:rsid w:val="00441396"/>
    <w:rsid w:val="00442C0F"/>
    <w:rsid w:val="004436FE"/>
    <w:rsid w:val="004473A0"/>
    <w:rsid w:val="00447BB7"/>
    <w:rsid w:val="00450E8E"/>
    <w:rsid w:val="004538C1"/>
    <w:rsid w:val="00453EB3"/>
    <w:rsid w:val="00455114"/>
    <w:rsid w:val="00455D7C"/>
    <w:rsid w:val="0045767A"/>
    <w:rsid w:val="00457D2D"/>
    <w:rsid w:val="004606FF"/>
    <w:rsid w:val="00463EE0"/>
    <w:rsid w:val="00463FED"/>
    <w:rsid w:val="004640CF"/>
    <w:rsid w:val="004655C0"/>
    <w:rsid w:val="004668D6"/>
    <w:rsid w:val="00472A2A"/>
    <w:rsid w:val="00472F6A"/>
    <w:rsid w:val="00473A84"/>
    <w:rsid w:val="0047564C"/>
    <w:rsid w:val="00480BBF"/>
    <w:rsid w:val="004817AB"/>
    <w:rsid w:val="0048229E"/>
    <w:rsid w:val="0048681B"/>
    <w:rsid w:val="004871B8"/>
    <w:rsid w:val="0048741A"/>
    <w:rsid w:val="00487606"/>
    <w:rsid w:val="004926E8"/>
    <w:rsid w:val="00497F3F"/>
    <w:rsid w:val="004A1090"/>
    <w:rsid w:val="004A4767"/>
    <w:rsid w:val="004A489D"/>
    <w:rsid w:val="004A4941"/>
    <w:rsid w:val="004A7D34"/>
    <w:rsid w:val="004B0474"/>
    <w:rsid w:val="004B167C"/>
    <w:rsid w:val="004B38FE"/>
    <w:rsid w:val="004B5046"/>
    <w:rsid w:val="004C20A1"/>
    <w:rsid w:val="004C213C"/>
    <w:rsid w:val="004C3E69"/>
    <w:rsid w:val="004C68FE"/>
    <w:rsid w:val="004C6C5B"/>
    <w:rsid w:val="004D2A61"/>
    <w:rsid w:val="004D475C"/>
    <w:rsid w:val="004E0C99"/>
    <w:rsid w:val="004E198A"/>
    <w:rsid w:val="004E1F81"/>
    <w:rsid w:val="004E66DF"/>
    <w:rsid w:val="004F2A36"/>
    <w:rsid w:val="004F5483"/>
    <w:rsid w:val="005029C8"/>
    <w:rsid w:val="00502B99"/>
    <w:rsid w:val="0050411A"/>
    <w:rsid w:val="00507199"/>
    <w:rsid w:val="0051194F"/>
    <w:rsid w:val="00515235"/>
    <w:rsid w:val="00523E2E"/>
    <w:rsid w:val="0053376A"/>
    <w:rsid w:val="005339CE"/>
    <w:rsid w:val="005351B3"/>
    <w:rsid w:val="00536E8C"/>
    <w:rsid w:val="00537334"/>
    <w:rsid w:val="005436AB"/>
    <w:rsid w:val="0054381F"/>
    <w:rsid w:val="0054418C"/>
    <w:rsid w:val="00544B3F"/>
    <w:rsid w:val="0055534A"/>
    <w:rsid w:val="0056086B"/>
    <w:rsid w:val="005654B3"/>
    <w:rsid w:val="00571B22"/>
    <w:rsid w:val="005738B5"/>
    <w:rsid w:val="005741FE"/>
    <w:rsid w:val="00577681"/>
    <w:rsid w:val="00577700"/>
    <w:rsid w:val="00577C34"/>
    <w:rsid w:val="005811A4"/>
    <w:rsid w:val="005818D8"/>
    <w:rsid w:val="00583545"/>
    <w:rsid w:val="00586A5C"/>
    <w:rsid w:val="0058792B"/>
    <w:rsid w:val="00591468"/>
    <w:rsid w:val="0059371C"/>
    <w:rsid w:val="005967F7"/>
    <w:rsid w:val="005A46C3"/>
    <w:rsid w:val="005B3C12"/>
    <w:rsid w:val="005B5A61"/>
    <w:rsid w:val="005B6224"/>
    <w:rsid w:val="005B684F"/>
    <w:rsid w:val="005B710F"/>
    <w:rsid w:val="005B76FE"/>
    <w:rsid w:val="005C56FA"/>
    <w:rsid w:val="005C762E"/>
    <w:rsid w:val="005D0AB6"/>
    <w:rsid w:val="005D2773"/>
    <w:rsid w:val="005E144A"/>
    <w:rsid w:val="005E3480"/>
    <w:rsid w:val="005E6167"/>
    <w:rsid w:val="005F16D9"/>
    <w:rsid w:val="005F4F85"/>
    <w:rsid w:val="005F6391"/>
    <w:rsid w:val="005F7780"/>
    <w:rsid w:val="00602E36"/>
    <w:rsid w:val="00610EC6"/>
    <w:rsid w:val="00612D84"/>
    <w:rsid w:val="006140DC"/>
    <w:rsid w:val="00623793"/>
    <w:rsid w:val="00626370"/>
    <w:rsid w:val="0063179B"/>
    <w:rsid w:val="00631B38"/>
    <w:rsid w:val="00635122"/>
    <w:rsid w:val="006428EF"/>
    <w:rsid w:val="006461B1"/>
    <w:rsid w:val="00646A0F"/>
    <w:rsid w:val="0064732D"/>
    <w:rsid w:val="00652119"/>
    <w:rsid w:val="0065297B"/>
    <w:rsid w:val="00652CAD"/>
    <w:rsid w:val="006531B3"/>
    <w:rsid w:val="0065397B"/>
    <w:rsid w:val="0065515E"/>
    <w:rsid w:val="00656C0D"/>
    <w:rsid w:val="00657671"/>
    <w:rsid w:val="006603A2"/>
    <w:rsid w:val="00660871"/>
    <w:rsid w:val="00663A65"/>
    <w:rsid w:val="00663C71"/>
    <w:rsid w:val="006716F0"/>
    <w:rsid w:val="0067286E"/>
    <w:rsid w:val="00672A04"/>
    <w:rsid w:val="00673FD9"/>
    <w:rsid w:val="00675E52"/>
    <w:rsid w:val="006827CE"/>
    <w:rsid w:val="00686492"/>
    <w:rsid w:val="006873DF"/>
    <w:rsid w:val="00694360"/>
    <w:rsid w:val="0069465B"/>
    <w:rsid w:val="00695B56"/>
    <w:rsid w:val="00697D04"/>
    <w:rsid w:val="006A1DD5"/>
    <w:rsid w:val="006A6B7F"/>
    <w:rsid w:val="006A7244"/>
    <w:rsid w:val="006B022B"/>
    <w:rsid w:val="006B536E"/>
    <w:rsid w:val="006B61A8"/>
    <w:rsid w:val="006B6C50"/>
    <w:rsid w:val="006B6F4D"/>
    <w:rsid w:val="006B715B"/>
    <w:rsid w:val="006C2214"/>
    <w:rsid w:val="006D41CF"/>
    <w:rsid w:val="006D42C8"/>
    <w:rsid w:val="006E0B4E"/>
    <w:rsid w:val="006E2976"/>
    <w:rsid w:val="006E3EAE"/>
    <w:rsid w:val="006E6037"/>
    <w:rsid w:val="006E7A4A"/>
    <w:rsid w:val="006F073B"/>
    <w:rsid w:val="006F1DD3"/>
    <w:rsid w:val="006F4B0C"/>
    <w:rsid w:val="0070050A"/>
    <w:rsid w:val="00700F15"/>
    <w:rsid w:val="00701177"/>
    <w:rsid w:val="00705AF5"/>
    <w:rsid w:val="00710FDB"/>
    <w:rsid w:val="0071696E"/>
    <w:rsid w:val="00720FD7"/>
    <w:rsid w:val="007224F1"/>
    <w:rsid w:val="00723391"/>
    <w:rsid w:val="007249F3"/>
    <w:rsid w:val="0073147F"/>
    <w:rsid w:val="007317BE"/>
    <w:rsid w:val="007372D3"/>
    <w:rsid w:val="00737C71"/>
    <w:rsid w:val="007409D0"/>
    <w:rsid w:val="00742B8F"/>
    <w:rsid w:val="0074592E"/>
    <w:rsid w:val="007539C1"/>
    <w:rsid w:val="00755C67"/>
    <w:rsid w:val="00765CB0"/>
    <w:rsid w:val="00765EF6"/>
    <w:rsid w:val="0077072A"/>
    <w:rsid w:val="00770E1E"/>
    <w:rsid w:val="00770FF1"/>
    <w:rsid w:val="00774861"/>
    <w:rsid w:val="007749A9"/>
    <w:rsid w:val="00776EBA"/>
    <w:rsid w:val="007803A2"/>
    <w:rsid w:val="00781233"/>
    <w:rsid w:val="007834A6"/>
    <w:rsid w:val="007844DC"/>
    <w:rsid w:val="00787124"/>
    <w:rsid w:val="00790D9E"/>
    <w:rsid w:val="0079618B"/>
    <w:rsid w:val="0079760A"/>
    <w:rsid w:val="007976EF"/>
    <w:rsid w:val="007A31FD"/>
    <w:rsid w:val="007A3907"/>
    <w:rsid w:val="007A452E"/>
    <w:rsid w:val="007A45BB"/>
    <w:rsid w:val="007A5422"/>
    <w:rsid w:val="007A71C3"/>
    <w:rsid w:val="007B0395"/>
    <w:rsid w:val="007B093F"/>
    <w:rsid w:val="007B1381"/>
    <w:rsid w:val="007B3D89"/>
    <w:rsid w:val="007B6D3D"/>
    <w:rsid w:val="007B77C1"/>
    <w:rsid w:val="007C28CF"/>
    <w:rsid w:val="007D0DE1"/>
    <w:rsid w:val="007D4E0A"/>
    <w:rsid w:val="007D690D"/>
    <w:rsid w:val="007E3FDE"/>
    <w:rsid w:val="007E509A"/>
    <w:rsid w:val="007E5503"/>
    <w:rsid w:val="007E5C34"/>
    <w:rsid w:val="007F1F7B"/>
    <w:rsid w:val="007F306E"/>
    <w:rsid w:val="007F370A"/>
    <w:rsid w:val="007F5AD1"/>
    <w:rsid w:val="007F5E72"/>
    <w:rsid w:val="007F7E5E"/>
    <w:rsid w:val="00804476"/>
    <w:rsid w:val="00806456"/>
    <w:rsid w:val="00807C23"/>
    <w:rsid w:val="00810F38"/>
    <w:rsid w:val="00812044"/>
    <w:rsid w:val="00815CD2"/>
    <w:rsid w:val="008175C0"/>
    <w:rsid w:val="00821A76"/>
    <w:rsid w:val="00832C2E"/>
    <w:rsid w:val="00835893"/>
    <w:rsid w:val="00843575"/>
    <w:rsid w:val="00843A23"/>
    <w:rsid w:val="00853279"/>
    <w:rsid w:val="00857F7C"/>
    <w:rsid w:val="00857F81"/>
    <w:rsid w:val="00860056"/>
    <w:rsid w:val="00861E4D"/>
    <w:rsid w:val="0086332D"/>
    <w:rsid w:val="008668F5"/>
    <w:rsid w:val="008670DD"/>
    <w:rsid w:val="00875DF6"/>
    <w:rsid w:val="00875EB2"/>
    <w:rsid w:val="008841D5"/>
    <w:rsid w:val="00886E23"/>
    <w:rsid w:val="008908D9"/>
    <w:rsid w:val="008917AE"/>
    <w:rsid w:val="00891B20"/>
    <w:rsid w:val="00891C0E"/>
    <w:rsid w:val="00892CCF"/>
    <w:rsid w:val="0089589E"/>
    <w:rsid w:val="00895BEC"/>
    <w:rsid w:val="0089647E"/>
    <w:rsid w:val="00897294"/>
    <w:rsid w:val="008A0EA1"/>
    <w:rsid w:val="008A0F08"/>
    <w:rsid w:val="008A1C7F"/>
    <w:rsid w:val="008A29C4"/>
    <w:rsid w:val="008A3FDC"/>
    <w:rsid w:val="008A4390"/>
    <w:rsid w:val="008A501E"/>
    <w:rsid w:val="008A55EF"/>
    <w:rsid w:val="008A7964"/>
    <w:rsid w:val="008B0277"/>
    <w:rsid w:val="008B1703"/>
    <w:rsid w:val="008B1EFA"/>
    <w:rsid w:val="008B23DA"/>
    <w:rsid w:val="008B352D"/>
    <w:rsid w:val="008C652E"/>
    <w:rsid w:val="008D0214"/>
    <w:rsid w:val="008D03D0"/>
    <w:rsid w:val="008D10AF"/>
    <w:rsid w:val="008D2AF8"/>
    <w:rsid w:val="008D364B"/>
    <w:rsid w:val="008D3BA0"/>
    <w:rsid w:val="008E050A"/>
    <w:rsid w:val="008E1026"/>
    <w:rsid w:val="008E1853"/>
    <w:rsid w:val="008E1B66"/>
    <w:rsid w:val="008E26DB"/>
    <w:rsid w:val="008E58C6"/>
    <w:rsid w:val="008F06F8"/>
    <w:rsid w:val="008F24E2"/>
    <w:rsid w:val="008F2BEA"/>
    <w:rsid w:val="008F574C"/>
    <w:rsid w:val="009025A5"/>
    <w:rsid w:val="00903B2F"/>
    <w:rsid w:val="00906070"/>
    <w:rsid w:val="00916ADF"/>
    <w:rsid w:val="009208B6"/>
    <w:rsid w:val="00922115"/>
    <w:rsid w:val="009250AE"/>
    <w:rsid w:val="009261FB"/>
    <w:rsid w:val="0093023A"/>
    <w:rsid w:val="00931DA9"/>
    <w:rsid w:val="00942436"/>
    <w:rsid w:val="0094349F"/>
    <w:rsid w:val="0094549E"/>
    <w:rsid w:val="00947386"/>
    <w:rsid w:val="00955E37"/>
    <w:rsid w:val="00961D48"/>
    <w:rsid w:val="009637CF"/>
    <w:rsid w:val="00966B6C"/>
    <w:rsid w:val="00966F89"/>
    <w:rsid w:val="00967F4E"/>
    <w:rsid w:val="00971E94"/>
    <w:rsid w:val="00976AF4"/>
    <w:rsid w:val="00981008"/>
    <w:rsid w:val="009810CC"/>
    <w:rsid w:val="00981629"/>
    <w:rsid w:val="0098464F"/>
    <w:rsid w:val="009849F0"/>
    <w:rsid w:val="009859CE"/>
    <w:rsid w:val="00987D34"/>
    <w:rsid w:val="0099365A"/>
    <w:rsid w:val="00995AA4"/>
    <w:rsid w:val="009A0645"/>
    <w:rsid w:val="009A0735"/>
    <w:rsid w:val="009A24A0"/>
    <w:rsid w:val="009A4948"/>
    <w:rsid w:val="009A676A"/>
    <w:rsid w:val="009B0394"/>
    <w:rsid w:val="009B0902"/>
    <w:rsid w:val="009B2337"/>
    <w:rsid w:val="009B2821"/>
    <w:rsid w:val="009B3464"/>
    <w:rsid w:val="009B7DB7"/>
    <w:rsid w:val="009C06A9"/>
    <w:rsid w:val="009C1646"/>
    <w:rsid w:val="009C7368"/>
    <w:rsid w:val="009D198E"/>
    <w:rsid w:val="009D213F"/>
    <w:rsid w:val="009D3A00"/>
    <w:rsid w:val="009E29B7"/>
    <w:rsid w:val="009E6DC4"/>
    <w:rsid w:val="009F22EE"/>
    <w:rsid w:val="009F27C8"/>
    <w:rsid w:val="009F305F"/>
    <w:rsid w:val="009F67DE"/>
    <w:rsid w:val="00A03AE0"/>
    <w:rsid w:val="00A040B0"/>
    <w:rsid w:val="00A06481"/>
    <w:rsid w:val="00A0721D"/>
    <w:rsid w:val="00A16529"/>
    <w:rsid w:val="00A17675"/>
    <w:rsid w:val="00A2043A"/>
    <w:rsid w:val="00A20F6B"/>
    <w:rsid w:val="00A2329E"/>
    <w:rsid w:val="00A24727"/>
    <w:rsid w:val="00A26931"/>
    <w:rsid w:val="00A33BC1"/>
    <w:rsid w:val="00A344F7"/>
    <w:rsid w:val="00A367DF"/>
    <w:rsid w:val="00A411AA"/>
    <w:rsid w:val="00A43192"/>
    <w:rsid w:val="00A449B9"/>
    <w:rsid w:val="00A476AB"/>
    <w:rsid w:val="00A5154E"/>
    <w:rsid w:val="00A53107"/>
    <w:rsid w:val="00A5574E"/>
    <w:rsid w:val="00A5714E"/>
    <w:rsid w:val="00A64065"/>
    <w:rsid w:val="00A64264"/>
    <w:rsid w:val="00A73066"/>
    <w:rsid w:val="00A74F93"/>
    <w:rsid w:val="00A75677"/>
    <w:rsid w:val="00A75A2F"/>
    <w:rsid w:val="00A8198D"/>
    <w:rsid w:val="00A82F6B"/>
    <w:rsid w:val="00A85E71"/>
    <w:rsid w:val="00A86D4F"/>
    <w:rsid w:val="00A94CD2"/>
    <w:rsid w:val="00A955A7"/>
    <w:rsid w:val="00AA08DE"/>
    <w:rsid w:val="00AA32E0"/>
    <w:rsid w:val="00AA70FE"/>
    <w:rsid w:val="00AB38AF"/>
    <w:rsid w:val="00AB77E0"/>
    <w:rsid w:val="00AC4360"/>
    <w:rsid w:val="00AC53BD"/>
    <w:rsid w:val="00AC5E06"/>
    <w:rsid w:val="00AC703C"/>
    <w:rsid w:val="00AC743D"/>
    <w:rsid w:val="00AD0E5A"/>
    <w:rsid w:val="00AE7F35"/>
    <w:rsid w:val="00AF0ADC"/>
    <w:rsid w:val="00AF0EFA"/>
    <w:rsid w:val="00AF1873"/>
    <w:rsid w:val="00AF2876"/>
    <w:rsid w:val="00AF506C"/>
    <w:rsid w:val="00AF50CD"/>
    <w:rsid w:val="00AF5316"/>
    <w:rsid w:val="00AF6BE8"/>
    <w:rsid w:val="00AF7158"/>
    <w:rsid w:val="00AF78F1"/>
    <w:rsid w:val="00B0303A"/>
    <w:rsid w:val="00B03BF0"/>
    <w:rsid w:val="00B0586A"/>
    <w:rsid w:val="00B14C77"/>
    <w:rsid w:val="00B201E3"/>
    <w:rsid w:val="00B2096F"/>
    <w:rsid w:val="00B20E12"/>
    <w:rsid w:val="00B30F24"/>
    <w:rsid w:val="00B34FC0"/>
    <w:rsid w:val="00B354FE"/>
    <w:rsid w:val="00B36669"/>
    <w:rsid w:val="00B3796A"/>
    <w:rsid w:val="00B47185"/>
    <w:rsid w:val="00B61D6D"/>
    <w:rsid w:val="00B63A1E"/>
    <w:rsid w:val="00B65027"/>
    <w:rsid w:val="00B6703F"/>
    <w:rsid w:val="00B67126"/>
    <w:rsid w:val="00B73826"/>
    <w:rsid w:val="00B74FBE"/>
    <w:rsid w:val="00B75C5D"/>
    <w:rsid w:val="00B762F9"/>
    <w:rsid w:val="00B7770A"/>
    <w:rsid w:val="00B7776E"/>
    <w:rsid w:val="00B837B6"/>
    <w:rsid w:val="00B90195"/>
    <w:rsid w:val="00B91158"/>
    <w:rsid w:val="00B93E65"/>
    <w:rsid w:val="00B94454"/>
    <w:rsid w:val="00B9487D"/>
    <w:rsid w:val="00B950FD"/>
    <w:rsid w:val="00BA0F39"/>
    <w:rsid w:val="00BA5D8C"/>
    <w:rsid w:val="00BB12D3"/>
    <w:rsid w:val="00BB503A"/>
    <w:rsid w:val="00BC048C"/>
    <w:rsid w:val="00BC28A3"/>
    <w:rsid w:val="00BC3AD7"/>
    <w:rsid w:val="00BC7CA8"/>
    <w:rsid w:val="00BD06FD"/>
    <w:rsid w:val="00BD2B42"/>
    <w:rsid w:val="00BD4805"/>
    <w:rsid w:val="00BD4EAE"/>
    <w:rsid w:val="00BE64E5"/>
    <w:rsid w:val="00BF01A3"/>
    <w:rsid w:val="00BF2B59"/>
    <w:rsid w:val="00BF53BD"/>
    <w:rsid w:val="00BF7131"/>
    <w:rsid w:val="00C012CE"/>
    <w:rsid w:val="00C0272E"/>
    <w:rsid w:val="00C1183F"/>
    <w:rsid w:val="00C12F1A"/>
    <w:rsid w:val="00C14CFE"/>
    <w:rsid w:val="00C20D12"/>
    <w:rsid w:val="00C24917"/>
    <w:rsid w:val="00C26FF7"/>
    <w:rsid w:val="00C333A8"/>
    <w:rsid w:val="00C3375D"/>
    <w:rsid w:val="00C33AC4"/>
    <w:rsid w:val="00C46071"/>
    <w:rsid w:val="00C53B16"/>
    <w:rsid w:val="00C53E7C"/>
    <w:rsid w:val="00C544EC"/>
    <w:rsid w:val="00C54EBE"/>
    <w:rsid w:val="00C6192F"/>
    <w:rsid w:val="00C63BD6"/>
    <w:rsid w:val="00C650D2"/>
    <w:rsid w:val="00C66FE3"/>
    <w:rsid w:val="00C67F9D"/>
    <w:rsid w:val="00C709E8"/>
    <w:rsid w:val="00C70D4A"/>
    <w:rsid w:val="00C73CCC"/>
    <w:rsid w:val="00C82EAF"/>
    <w:rsid w:val="00C830CA"/>
    <w:rsid w:val="00C83FA6"/>
    <w:rsid w:val="00C850D0"/>
    <w:rsid w:val="00C85E2F"/>
    <w:rsid w:val="00C862FF"/>
    <w:rsid w:val="00C92466"/>
    <w:rsid w:val="00C92EFD"/>
    <w:rsid w:val="00C94911"/>
    <w:rsid w:val="00C971C9"/>
    <w:rsid w:val="00CA0248"/>
    <w:rsid w:val="00CA3C88"/>
    <w:rsid w:val="00CA61FF"/>
    <w:rsid w:val="00CC11A2"/>
    <w:rsid w:val="00CC12DA"/>
    <w:rsid w:val="00CC15D6"/>
    <w:rsid w:val="00CC5F8F"/>
    <w:rsid w:val="00CC6BF8"/>
    <w:rsid w:val="00CC7904"/>
    <w:rsid w:val="00CC7D4E"/>
    <w:rsid w:val="00CD24C9"/>
    <w:rsid w:val="00CD34E8"/>
    <w:rsid w:val="00CD360C"/>
    <w:rsid w:val="00CD78D2"/>
    <w:rsid w:val="00CE19AC"/>
    <w:rsid w:val="00CE63DC"/>
    <w:rsid w:val="00CF46F0"/>
    <w:rsid w:val="00CF68E8"/>
    <w:rsid w:val="00D025E9"/>
    <w:rsid w:val="00D051CF"/>
    <w:rsid w:val="00D05DC5"/>
    <w:rsid w:val="00D05E79"/>
    <w:rsid w:val="00D106D7"/>
    <w:rsid w:val="00D113C9"/>
    <w:rsid w:val="00D11D6B"/>
    <w:rsid w:val="00D13396"/>
    <w:rsid w:val="00D20EB6"/>
    <w:rsid w:val="00D2180B"/>
    <w:rsid w:val="00D21DE6"/>
    <w:rsid w:val="00D24854"/>
    <w:rsid w:val="00D256F1"/>
    <w:rsid w:val="00D26394"/>
    <w:rsid w:val="00D30E86"/>
    <w:rsid w:val="00D40FA6"/>
    <w:rsid w:val="00D42228"/>
    <w:rsid w:val="00D42743"/>
    <w:rsid w:val="00D4298E"/>
    <w:rsid w:val="00D456E8"/>
    <w:rsid w:val="00D5215E"/>
    <w:rsid w:val="00D5240B"/>
    <w:rsid w:val="00D562A7"/>
    <w:rsid w:val="00D576AF"/>
    <w:rsid w:val="00D60920"/>
    <w:rsid w:val="00D63D68"/>
    <w:rsid w:val="00D64247"/>
    <w:rsid w:val="00D67C13"/>
    <w:rsid w:val="00D70AB9"/>
    <w:rsid w:val="00D7124B"/>
    <w:rsid w:val="00D7125B"/>
    <w:rsid w:val="00D721DE"/>
    <w:rsid w:val="00D72F72"/>
    <w:rsid w:val="00D7621F"/>
    <w:rsid w:val="00D823A4"/>
    <w:rsid w:val="00D82EFF"/>
    <w:rsid w:val="00D84465"/>
    <w:rsid w:val="00D847BC"/>
    <w:rsid w:val="00D864C3"/>
    <w:rsid w:val="00D907C6"/>
    <w:rsid w:val="00D90FA6"/>
    <w:rsid w:val="00D922F8"/>
    <w:rsid w:val="00D92F03"/>
    <w:rsid w:val="00D945BC"/>
    <w:rsid w:val="00DA3BAB"/>
    <w:rsid w:val="00DA5856"/>
    <w:rsid w:val="00DB1A39"/>
    <w:rsid w:val="00DB1E3F"/>
    <w:rsid w:val="00DB4071"/>
    <w:rsid w:val="00DB597D"/>
    <w:rsid w:val="00DB7D76"/>
    <w:rsid w:val="00DC6BF7"/>
    <w:rsid w:val="00DC794A"/>
    <w:rsid w:val="00DD775C"/>
    <w:rsid w:val="00DE36CA"/>
    <w:rsid w:val="00DE47BE"/>
    <w:rsid w:val="00DE4C41"/>
    <w:rsid w:val="00DE4DD6"/>
    <w:rsid w:val="00DE79D6"/>
    <w:rsid w:val="00DF10FF"/>
    <w:rsid w:val="00DF1AC8"/>
    <w:rsid w:val="00DF1CC0"/>
    <w:rsid w:val="00DF6341"/>
    <w:rsid w:val="00DF7E32"/>
    <w:rsid w:val="00DF7EF7"/>
    <w:rsid w:val="00E00636"/>
    <w:rsid w:val="00E0239D"/>
    <w:rsid w:val="00E0303D"/>
    <w:rsid w:val="00E03BB4"/>
    <w:rsid w:val="00E1348A"/>
    <w:rsid w:val="00E13D58"/>
    <w:rsid w:val="00E15CA5"/>
    <w:rsid w:val="00E16EA2"/>
    <w:rsid w:val="00E21128"/>
    <w:rsid w:val="00E23FC3"/>
    <w:rsid w:val="00E2414F"/>
    <w:rsid w:val="00E24EC7"/>
    <w:rsid w:val="00E302BF"/>
    <w:rsid w:val="00E304B9"/>
    <w:rsid w:val="00E3269D"/>
    <w:rsid w:val="00E32A79"/>
    <w:rsid w:val="00E35235"/>
    <w:rsid w:val="00E35CD9"/>
    <w:rsid w:val="00E4469F"/>
    <w:rsid w:val="00E676CA"/>
    <w:rsid w:val="00E71E5A"/>
    <w:rsid w:val="00E72E40"/>
    <w:rsid w:val="00E73613"/>
    <w:rsid w:val="00E761F2"/>
    <w:rsid w:val="00E76394"/>
    <w:rsid w:val="00E7654C"/>
    <w:rsid w:val="00E76F9E"/>
    <w:rsid w:val="00E820AE"/>
    <w:rsid w:val="00E8347A"/>
    <w:rsid w:val="00E837F1"/>
    <w:rsid w:val="00E83A9B"/>
    <w:rsid w:val="00E841AF"/>
    <w:rsid w:val="00E842C1"/>
    <w:rsid w:val="00E8723F"/>
    <w:rsid w:val="00E92F2F"/>
    <w:rsid w:val="00E97C9B"/>
    <w:rsid w:val="00E97ED1"/>
    <w:rsid w:val="00EA3687"/>
    <w:rsid w:val="00EA3B0C"/>
    <w:rsid w:val="00EB22DC"/>
    <w:rsid w:val="00EB3685"/>
    <w:rsid w:val="00EB46C3"/>
    <w:rsid w:val="00EB4D9F"/>
    <w:rsid w:val="00EC0858"/>
    <w:rsid w:val="00EC1124"/>
    <w:rsid w:val="00EC69CF"/>
    <w:rsid w:val="00EC6EBB"/>
    <w:rsid w:val="00EC7B21"/>
    <w:rsid w:val="00ED02AA"/>
    <w:rsid w:val="00ED1272"/>
    <w:rsid w:val="00ED3094"/>
    <w:rsid w:val="00ED3591"/>
    <w:rsid w:val="00ED3900"/>
    <w:rsid w:val="00ED3EC8"/>
    <w:rsid w:val="00ED4570"/>
    <w:rsid w:val="00ED53CB"/>
    <w:rsid w:val="00ED6B33"/>
    <w:rsid w:val="00EE39A8"/>
    <w:rsid w:val="00EE5E4E"/>
    <w:rsid w:val="00EF5A19"/>
    <w:rsid w:val="00EF6362"/>
    <w:rsid w:val="00EF638E"/>
    <w:rsid w:val="00EF6914"/>
    <w:rsid w:val="00F00DD1"/>
    <w:rsid w:val="00F00F2D"/>
    <w:rsid w:val="00F04C97"/>
    <w:rsid w:val="00F0631F"/>
    <w:rsid w:val="00F06941"/>
    <w:rsid w:val="00F107EB"/>
    <w:rsid w:val="00F12448"/>
    <w:rsid w:val="00F15C4B"/>
    <w:rsid w:val="00F16204"/>
    <w:rsid w:val="00F22B6A"/>
    <w:rsid w:val="00F26375"/>
    <w:rsid w:val="00F26514"/>
    <w:rsid w:val="00F31AEA"/>
    <w:rsid w:val="00F32319"/>
    <w:rsid w:val="00F33A04"/>
    <w:rsid w:val="00F36BBF"/>
    <w:rsid w:val="00F42A1F"/>
    <w:rsid w:val="00F4355B"/>
    <w:rsid w:val="00F43D89"/>
    <w:rsid w:val="00F44CBF"/>
    <w:rsid w:val="00F466D5"/>
    <w:rsid w:val="00F46801"/>
    <w:rsid w:val="00F500E1"/>
    <w:rsid w:val="00F53716"/>
    <w:rsid w:val="00F54828"/>
    <w:rsid w:val="00F54BB1"/>
    <w:rsid w:val="00F61ADF"/>
    <w:rsid w:val="00F62141"/>
    <w:rsid w:val="00F62AA2"/>
    <w:rsid w:val="00F647B2"/>
    <w:rsid w:val="00F667BF"/>
    <w:rsid w:val="00F6722C"/>
    <w:rsid w:val="00F7306F"/>
    <w:rsid w:val="00F803C7"/>
    <w:rsid w:val="00F84122"/>
    <w:rsid w:val="00F85256"/>
    <w:rsid w:val="00F85C86"/>
    <w:rsid w:val="00F90DD3"/>
    <w:rsid w:val="00F91693"/>
    <w:rsid w:val="00FA0A64"/>
    <w:rsid w:val="00FA504A"/>
    <w:rsid w:val="00FB16CC"/>
    <w:rsid w:val="00FB36F9"/>
    <w:rsid w:val="00FB6526"/>
    <w:rsid w:val="00FB797E"/>
    <w:rsid w:val="00FC0EE4"/>
    <w:rsid w:val="00FC318D"/>
    <w:rsid w:val="00FC6290"/>
    <w:rsid w:val="00FD1C4A"/>
    <w:rsid w:val="00FD34FA"/>
    <w:rsid w:val="00FD3587"/>
    <w:rsid w:val="00FD7E20"/>
    <w:rsid w:val="00FE04FE"/>
    <w:rsid w:val="00FE12AE"/>
    <w:rsid w:val="00FE312F"/>
    <w:rsid w:val="00FE5898"/>
    <w:rsid w:val="00FE6635"/>
    <w:rsid w:val="00FE731C"/>
    <w:rsid w:val="00FF44FC"/>
    <w:rsid w:val="00FF7E56"/>
    <w:rsid w:val="05FAA948"/>
    <w:rsid w:val="1BAAA03E"/>
    <w:rsid w:val="1DA7F6DA"/>
    <w:rsid w:val="298EA459"/>
    <w:rsid w:val="2F6DBAD9"/>
    <w:rsid w:val="304DADF8"/>
    <w:rsid w:val="33841FCA"/>
    <w:rsid w:val="35D4513D"/>
    <w:rsid w:val="414CAD45"/>
    <w:rsid w:val="4B507E9D"/>
    <w:rsid w:val="4D734BBD"/>
    <w:rsid w:val="5C9F304F"/>
    <w:rsid w:val="5CADF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E0017"/>
  <w15:docId w15:val="{D044C3F4-E309-4644-AB49-A228B0B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18C"/>
    <w:rPr>
      <w:lang w:val="en-GB"/>
    </w:rPr>
  </w:style>
  <w:style w:type="paragraph" w:styleId="Heading2">
    <w:name w:val="heading 2"/>
    <w:basedOn w:val="Normal"/>
    <w:next w:val="Normal"/>
    <w:qFormat/>
    <w:rsid w:val="00A20F6B"/>
    <w:pPr>
      <w:keepNext/>
      <w:outlineLvl w:val="1"/>
    </w:pPr>
    <w:rPr>
      <w:rFonts w:ascii="Optimum" w:hAnsi="Optimum"/>
      <w:b/>
      <w:sz w:val="24"/>
    </w:rPr>
  </w:style>
  <w:style w:type="paragraph" w:styleId="Heading3">
    <w:name w:val="heading 3"/>
    <w:basedOn w:val="Normal"/>
    <w:next w:val="Normal"/>
    <w:qFormat/>
    <w:rsid w:val="002179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B7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544B3F"/>
    <w:rPr>
      <w:rFonts w:ascii="Arial" w:hAnsi="Arial"/>
      <w:sz w:val="22"/>
      <w:lang w:val="en-AU"/>
    </w:rPr>
  </w:style>
  <w:style w:type="paragraph" w:styleId="Header">
    <w:name w:val="header"/>
    <w:basedOn w:val="Normal"/>
    <w:rsid w:val="0021793A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en-AU"/>
    </w:rPr>
  </w:style>
  <w:style w:type="paragraph" w:styleId="TOC4">
    <w:name w:val="toc 4"/>
    <w:basedOn w:val="Normal"/>
    <w:next w:val="Normal"/>
    <w:autoRedefine/>
    <w:semiHidden/>
    <w:rsid w:val="0021793A"/>
    <w:pPr>
      <w:ind w:left="720"/>
    </w:pPr>
    <w:rPr>
      <w:rFonts w:ascii="Arial" w:hAnsi="Arial"/>
      <w:sz w:val="24"/>
      <w:szCs w:val="24"/>
      <w:lang w:val="en-AU"/>
    </w:rPr>
  </w:style>
  <w:style w:type="paragraph" w:styleId="Footer">
    <w:name w:val="footer"/>
    <w:basedOn w:val="Normal"/>
    <w:link w:val="FooterChar"/>
    <w:rsid w:val="000D1CD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C67F9D"/>
    <w:pPr>
      <w:ind w:left="720"/>
    </w:pPr>
    <w:rPr>
      <w:rFonts w:ascii="Optimum" w:hAnsi="Optimum"/>
      <w:sz w:val="24"/>
    </w:rPr>
  </w:style>
  <w:style w:type="character" w:customStyle="1" w:styleId="FooterChar">
    <w:name w:val="Footer Char"/>
    <w:link w:val="Footer"/>
    <w:rsid w:val="00ED53CB"/>
    <w:rPr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D4570"/>
    <w:rPr>
      <w:color w:val="808080"/>
    </w:rPr>
  </w:style>
  <w:style w:type="character" w:customStyle="1" w:styleId="normaltextrun">
    <w:name w:val="normaltextrun"/>
    <w:basedOn w:val="DefaultParagraphFont"/>
    <w:rsid w:val="00A82F6B"/>
  </w:style>
  <w:style w:type="character" w:customStyle="1" w:styleId="eop">
    <w:name w:val="eop"/>
    <w:basedOn w:val="DefaultParagraphFont"/>
    <w:rsid w:val="00A8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Organisation xmlns="ca4a3966-1a1f-4369-a440-9f711514e93b">629</Organisation>
    <Secondary_x0020_Activity xmlns="ca4a3966-1a1f-4369-a440-9f711514e93b" xsi:nil="true"/>
    <Attachment xmlns="ca4a3966-1a1f-4369-a440-9f711514e93b">false</Attachment>
    <Document_x0020_ID xmlns="90ed4a57-0fae-40ad-873e-5d8816658dd0">459771</Document_x0020_ID>
    <_dlc_DocId xmlns="ca4a3966-1a1f-4369-a440-9f711514e93b">BRDADM-995886512-34799</_dlc_DocId>
    <_dlc_DocIdUrl xmlns="ca4a3966-1a1f-4369-a440-9f711514e93b">
      <Url>https://frdc1.sharepoint.com/teams/Board/_layouts/15/DocIdRedir.aspx?ID=BRDADM-995886512-34799</Url>
      <Description>BRDADM-995886512-34799</Description>
    </_dlc_DocIdUrl>
    <_dlc_DocIdPersistId xmlns="ca4a3966-1a1f-4369-a440-9f711514e93b" xsi:nil="true"/>
    <Project_x005f_x0020_Number xmlns="ca4a3966-1a1f-4369-a440-9f711514e93b" xsi:nil="true"/>
    <Prime_x005f_x0020_Activity xmlns="ca4a3966-1a1f-4369-a440-9f711514e93b" xsi:nil="true"/>
    <Action_x005f_x0020_Date xmlns="ca4a3966-1a1f-4369-a440-9f711514e93b">2024-06-11T14:00:00+00:00</Action_x005f_x0020_Date>
    <Document_x005f_x0020_Type xmlns="ca4a3966-1a1f-4369-a440-9f711514e93b">28</Document_x005f_x0020_Type>
    <Function_x005f_x0020_Type xmlns="ca4a3966-1a1f-4369-a440-9f711514e93b">30</Function_x005f_x0020_Type>
    <lcf76f155ced4ddcb4097134ff3c332f xmlns="90ed4a57-0fae-40ad-873e-5d8816658dd0">
      <Terms xmlns="http://schemas.microsoft.com/office/infopath/2007/PartnerControls"/>
    </lcf76f155ced4ddcb4097134ff3c332f>
    <TaxCatchAll xmlns="a7cd98e2-6c08-4ab2-8a65-2d176bce5d8c" xsi:nil="true"/>
    <SharedWithUsers xmlns="ca4a3966-1a1f-4369-a440-9f711514e93b">
      <UserInfo>
        <DisplayName>Jamie Allnutt</DisplayName>
        <AccountId>65</AccountId>
        <AccountType/>
      </UserInfo>
      <UserInfo>
        <DisplayName>Nathan Bicknell</DisplayName>
        <AccountId>152</AccountId>
        <AccountType/>
      </UserInfo>
      <UserInfo>
        <DisplayName>Kylie Dunstan</DisplayName>
        <AccountId>167</AccountId>
        <AccountType/>
      </UserInfo>
      <UserInfo>
        <DisplayName>Chris Izzo</DisplayName>
        <AccountId>46</AccountId>
        <AccountType/>
      </UserInfo>
      <UserInfo>
        <DisplayName>Cheryl Cole</DisplayName>
        <AccountId>15</AccountId>
        <AccountType/>
      </UserInfo>
      <UserInfo>
        <DisplayName>Patrick Hone</DisplayName>
        <AccountId>14</AccountId>
        <AccountType/>
      </UserInfo>
      <UserInfo>
        <DisplayName>Kyaw Kyaw Soe Hlaing</DisplayName>
        <AccountId>17</AccountId>
        <AccountType/>
      </UserInfo>
      <UserInfo>
        <DisplayName>Sally Roberts</DisplayName>
        <AccountId>140</AccountId>
        <AccountType/>
      </UserInfo>
      <UserInfo>
        <DisplayName>Jamin Forbes</DisplayName>
        <AccountId>157</AccountId>
        <AccountType/>
      </UserInfo>
      <UserInfo>
        <DisplayName>Jennifer Marshall</DisplayName>
        <AccountId>103</AccountId>
        <AccountType/>
      </UserInfo>
      <UserInfo>
        <DisplayName>Nicole Stubing</DisplayName>
        <AccountId>33</AccountId>
        <AccountType/>
      </UserInfo>
      <UserInfo>
        <DisplayName>Josh Fielding</DisplayName>
        <AccountId>18</AccountId>
        <AccountType/>
      </UserInfo>
      <UserInfo>
        <DisplayName>Crispian Ashby</DisplayName>
        <AccountId>35</AccountId>
        <AccountType/>
      </UserInfo>
      <UserInfo>
        <DisplayName>Sue Rana</DisplayName>
        <AccountId>145</AccountId>
        <AccountType/>
      </UserInfo>
      <UserInfo>
        <DisplayName>Ryan Mullins</DisplayName>
        <AccountId>147</AccountId>
        <AccountType/>
      </UserInfo>
      <UserInfo>
        <DisplayName>Phillipa Nott</DisplayName>
        <AccountId>26</AccountId>
        <AccountType/>
      </UserInfo>
      <UserInfo>
        <DisplayName>Steve Eayrs</DisplayName>
        <AccountId>159</AccountId>
        <AccountType/>
      </UserInfo>
      <UserInfo>
        <DisplayName>Blair Ewart</DisplayName>
        <AccountId>174</AccountId>
        <AccountType/>
      </UserInfo>
      <UserInfo>
        <DisplayName>Dempsey Ward</DisplayName>
        <AccountId>172</AccountId>
        <AccountType/>
      </UserInfo>
      <UserInfo>
        <DisplayName>Angela Tsang</DisplayName>
        <AccountId>72</AccountId>
        <AccountType/>
      </UserInfo>
      <UserInfo>
        <DisplayName>Priti Narayan</DisplayName>
        <AccountId>130</AccountId>
        <AccountType/>
      </UserInfo>
      <UserInfo>
        <DisplayName>Robert Smits</DisplayName>
        <AccountId>606</AccountId>
        <AccountType/>
      </UserInfo>
      <UserInfo>
        <DisplayName>Stephanie Cooper-Vassalakis</DisplayName>
        <AccountId>49</AccountId>
        <AccountType/>
      </UserInfo>
      <UserInfo>
        <DisplayName>David Maynard</DisplayName>
        <AccountId>166</AccountId>
        <AccountType/>
      </UserInfo>
      <UserInfo>
        <DisplayName>Meg Forestier-Wardley</DisplayName>
        <AccountId>137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RDC Documentation" ma:contentTypeID="0x01010047860AC0740F6C4285EC5EBB734D0CA800CC4D7A0113D71D4C81EF8B9968D291E9" ma:contentTypeVersion="803" ma:contentTypeDescription="" ma:contentTypeScope="" ma:versionID="bedc8c349e2b627f5a4e55a22c11f6b8">
  <xsd:schema xmlns:xsd="http://www.w3.org/2001/XMLSchema" xmlns:xs="http://www.w3.org/2001/XMLSchema" xmlns:p="http://schemas.microsoft.com/office/2006/metadata/properties" xmlns:ns2="ca4a3966-1a1f-4369-a440-9f711514e93b" xmlns:ns3="90ed4a57-0fae-40ad-873e-5d8816658dd0" xmlns:ns4="a7cd98e2-6c08-4ab2-8a65-2d176bce5d8c" targetNamespace="http://schemas.microsoft.com/office/2006/metadata/properties" ma:root="true" ma:fieldsID="3819bf5bc9ecf4593259c8d7602e0bec" ns2:_="" ns3:_="" ns4:_="">
    <xsd:import namespace="ca4a3966-1a1f-4369-a440-9f711514e93b"/>
    <xsd:import namespace="90ed4a57-0fae-40ad-873e-5d8816658dd0"/>
    <xsd:import namespace="a7cd98e2-6c08-4ab2-8a65-2d176bce5d8c"/>
    <xsd:element name="properties">
      <xsd:complexType>
        <xsd:sequence>
          <xsd:element name="documentManagement">
            <xsd:complexType>
              <xsd:all>
                <xsd:element ref="ns2:Action_x005f_x0020_Date" minOccurs="0"/>
                <xsd:element ref="ns2:Function_x005f_x0020_Type"/>
                <xsd:element ref="ns2:Prime_x005f_x0020_Activity" minOccurs="0"/>
                <xsd:element ref="ns2:Secondary_x0020_Activity" minOccurs="0"/>
                <xsd:element ref="ns2:Document_x005f_x0020_Type"/>
                <xsd:element ref="ns2:Organisation" minOccurs="0"/>
                <xsd:element ref="ns2:Project_x005f_x0020_Number" minOccurs="0"/>
                <xsd:element ref="ns2:Attachment" minOccurs="0"/>
                <xsd:element ref="ns3:Document_x0020_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a3966-1a1f-4369-a440-9f711514e93b" elementFormDefault="qualified">
    <xsd:import namespace="http://schemas.microsoft.com/office/2006/documentManagement/types"/>
    <xsd:import namespace="http://schemas.microsoft.com/office/infopath/2007/PartnerControls"/>
    <xsd:element name="Action_x005f_x0020_Date" ma:index="2" nillable="true" ma:displayName="Action Date" ma:default="[today]" ma:description="Date this document is relevant to. The Meeting Date, Year and Financial Year derive their value from this field." ma:format="DateOnly" ma:indexed="true" ma:internalName="Action_x0020_Date" ma:readOnly="false">
      <xsd:simpleType>
        <xsd:restriction base="dms:DateTime"/>
      </xsd:simpleType>
    </xsd:element>
    <xsd:element name="Function_x005f_x0020_Type" ma:index="3" ma:displayName="Function Type" ma:description="Base classification of a document based on ANA standards of activity" ma:list="{a2a00618-100f-466c-9ead-6582e1d946cb}" ma:internalName="Function_x0020_Type" ma:readOnly="false" ma:showField="Title" ma:web="ca4a3966-1a1f-4369-a440-9f711514e93b">
      <xsd:simpleType>
        <xsd:restriction base="dms:Lookup"/>
      </xsd:simpleType>
    </xsd:element>
    <xsd:element name="Prime_x005f_x0020_Activity" ma:index="4" nillable="true" ma:displayName="Prime Activity" ma:description="The primary activity to classify your document." ma:indexed="true" ma:list="{b1182940-b556-426c-a845-44e474fb0999}" ma:internalName="Prime_x0020_Activity" ma:readOnly="false" ma:showField="Title" ma:web="ca4a3966-1a1f-4369-a440-9f711514e93b">
      <xsd:simpleType>
        <xsd:restriction base="dms:Lookup"/>
      </xsd:simpleType>
    </xsd:element>
    <xsd:element name="Secondary_x0020_Activity" ma:index="5" nillable="true" ma:displayName="Secondary Activity" ma:description="The secondary activity to classify or group your document." ma:indexed="true" ma:list="{c792284b-8490-4f23-99d2-77259f134fb8}" ma:internalName="Secondary_x0020_Activity" ma:readOnly="false" ma:showField="Title" ma:web="ca4a3966-1a1f-4369-a440-9f711514e93b">
      <xsd:simpleType>
        <xsd:restriction base="dms:Lookup"/>
      </xsd:simpleType>
    </xsd:element>
    <xsd:element name="Document_x005f_x0020_Type" ma:index="6" ma:displayName="Document Type" ma:description="Choose what best describes you document." ma:indexed="true" ma:list="{6ab9cd0b-bf0d-4c56-8f49-9e595f66eb01}" ma:internalName="Document_x0020_Type" ma:readOnly="false" ma:showField="Title" ma:web="ca4a3966-1a1f-4369-a440-9f711514e93b">
      <xsd:simpleType>
        <xsd:restriction base="dms:Lookup"/>
      </xsd:simpleType>
    </xsd:element>
    <xsd:element name="Organisation" ma:index="7" nillable="true" ma:displayName="Organisation" ma:description="Organisations and Contacts List" ma:list="{2693a562-127d-4326-8dbb-908aa714f65b}" ma:internalName="Organisation" ma:readOnly="false" ma:showField="Title" ma:web="ca4a3966-1a1f-4369-a440-9f711514e93b">
      <xsd:simpleType>
        <xsd:restriction base="dms:Lookup"/>
      </xsd:simpleType>
    </xsd:element>
    <xsd:element name="Project_x005f_x0020_Number" ma:index="8" nillable="true" ma:displayName="Project Number" ma:description="FRDC Project Number as per OmniFish" ma:internalName="Project_x0020_Number" ma:readOnly="false">
      <xsd:simpleType>
        <xsd:restriction base="dms:Text">
          <xsd:maxLength value="13"/>
        </xsd:restriction>
      </xsd:simpleType>
    </xsd:element>
    <xsd:element name="Attachment" ma:index="13" nillable="true" ma:displayName="Attachment" ma:default="0" ma:internalName="Attachment" ma:readOnly="false">
      <xsd:simpleType>
        <xsd:restriction base="dms:Boolean"/>
      </xsd:simple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a57-0fae-40ad-873e-5d8816658dd0" elementFormDefault="qualified">
    <xsd:import namespace="http://schemas.microsoft.com/office/2006/documentManagement/types"/>
    <xsd:import namespace="http://schemas.microsoft.com/office/infopath/2007/PartnerControls"/>
    <xsd:element name="Document_x0020_ID" ma:index="20" nillable="true" ma:displayName="Document ID" ma:decimals="0" ma:description="Migrated Document ID" ma:hidden="true" ma:internalName="Document_x0020_ID" ma:readOnly="false" ma:percentage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2042557-870a-4b09-88ed-45c34f065d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98e2-6c08-4ab2-8a65-2d176bce5d8c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10dcb504-857c-4b51-905d-786252b15a18}" ma:internalName="TaxCatchAll" ma:showField="CatchAllData" ma:web="ca4a3966-1a1f-4369-a440-9f711514e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4DC83-D4B3-433B-A410-88594DDF3BAF}">
  <ds:schemaRefs>
    <ds:schemaRef ds:uri="http://schemas.microsoft.com/office/2006/metadata/properties"/>
    <ds:schemaRef ds:uri="http://schemas.microsoft.com/office/infopath/2007/PartnerControls"/>
    <ds:schemaRef ds:uri="ca4a3966-1a1f-4369-a440-9f711514e93b"/>
    <ds:schemaRef ds:uri="90ed4a57-0fae-40ad-873e-5d8816658dd0"/>
    <ds:schemaRef ds:uri="a7cd98e2-6c08-4ab2-8a65-2d176bce5d8c"/>
  </ds:schemaRefs>
</ds:datastoreItem>
</file>

<file path=customXml/itemProps2.xml><?xml version="1.0" encoding="utf-8"?>
<ds:datastoreItem xmlns:ds="http://schemas.openxmlformats.org/officeDocument/2006/customXml" ds:itemID="{BC3B208B-C410-4C53-9852-7DD9DD8408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A2B467-ADFD-425E-93EF-9B85596A8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F99FF-644D-4E44-8B07-4642E8EF89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7A60DA-068E-4C89-8164-423E60884CA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9BD036C-A4B8-4BE3-ABBA-81D95757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a3966-1a1f-4369-a440-9f711514e93b"/>
    <ds:schemaRef ds:uri="90ed4a57-0fae-40ad-873e-5d8816658dd0"/>
    <ds:schemaRef ds:uri="a7cd98e2-6c08-4ab2-8a65-2d176bce5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FRDC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Cheryl</cp:lastModifiedBy>
  <cp:revision>5</cp:revision>
  <dcterms:created xsi:type="dcterms:W3CDTF">2024-06-19T02:00:00Z</dcterms:created>
  <dcterms:modified xsi:type="dcterms:W3CDTF">2024-06-19T02:24:00Z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 Data">
    <vt:lpwstr>Board papers;John Wilson;BOARD ADMINISTRATION / Board meetings / Archives / 99 Darwin August 2008 / Papers / Committees;Papers August 2008;</vt:lpwstr>
  </property>
  <property fmtid="{D5CDD505-2E9C-101B-9397-08002B2CF9AE}" pid="3" name="display_urn:schemas-microsoft-com:office:office#Editor">
    <vt:lpwstr>John Wilson</vt:lpwstr>
  </property>
  <property fmtid="{D5CDD505-2E9C-101B-9397-08002B2CF9AE}" pid="4" name="{DFC8691F-2432-4741-B780-3CAE3235A612}">
    <vt:lpwstr>&lt;?xml version="1.0" encoding="utf-16"?&gt;_x000d_
&lt;XmlFileSourceXmlGenerator xmlns:xsi="http://www.w3.org/2001/XMLSchema-instance" xmlns:xsd="http://www.w3.org/2001/XMLSchema"&gt;_x000d_
  &lt;SourceInfoStoreType&gt;HummingbirdDM&lt;/SourceInfoStoreType&gt;_x000d_
  &lt;Url&gt;Z:\ExportData\80001</vt:lpwstr>
  </property>
  <property fmtid="{D5CDD505-2E9C-101B-9397-08002B2CF9AE}" pid="5" name="Folder Nam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FilePlan">
    <vt:lpwstr/>
  </property>
  <property fmtid="{D5CDD505-2E9C-101B-9397-08002B2CF9AE}" pid="9" name="display_urn:schemas-microsoft-com:office:office#Author">
    <vt:lpwstr>John Wilson</vt:lpwstr>
  </property>
  <property fmtid="{D5CDD505-2E9C-101B-9397-08002B2CF9AE}" pid="10" name="ContentTypeId">
    <vt:lpwstr>0x01010047860AC0740F6C4285EC5EBB734D0CA800CC4D7A0113D71D4C81EF8B9968D291E9</vt:lpwstr>
  </property>
  <property fmtid="{D5CDD505-2E9C-101B-9397-08002B2CF9AE}" pid="11" name="Meeting Document Type">
    <vt:lpwstr>Papers</vt:lpwstr>
  </property>
  <property fmtid="{D5CDD505-2E9C-101B-9397-08002B2CF9AE}" pid="12" name="Board Meeting">
    <vt:lpwstr>1</vt:lpwstr>
  </property>
  <property fmtid="{D5CDD505-2E9C-101B-9397-08002B2CF9AE}" pid="13" name="ContentType">
    <vt:lpwstr>FRDC Documentation</vt:lpwstr>
  </property>
  <property fmtid="{D5CDD505-2E9C-101B-9397-08002B2CF9AE}" pid="14" name="Directors Document Type0">
    <vt:lpwstr/>
  </property>
  <property fmtid="{D5CDD505-2E9C-101B-9397-08002B2CF9AE}" pid="15" name="Directors Name">
    <vt:lpwstr/>
  </property>
  <property fmtid="{D5CDD505-2E9C-101B-9397-08002B2CF9AE}" pid="16" name="Year">
    <vt:lpwstr/>
  </property>
  <property fmtid="{D5CDD505-2E9C-101B-9397-08002B2CF9AE}" pid="17" name="Board Management Type1">
    <vt:lpwstr/>
  </property>
  <property fmtid="{D5CDD505-2E9C-101B-9397-08002B2CF9AE}" pid="18" name="Board Management Document Type">
    <vt:lpwstr/>
  </property>
  <property fmtid="{D5CDD505-2E9C-101B-9397-08002B2CF9AE}" pid="19" name="Report ID">
    <vt:lpwstr/>
  </property>
  <property fmtid="{D5CDD505-2E9C-101B-9397-08002B2CF9AE}" pid="20" name="Order">
    <vt:r8>24900</vt:r8>
  </property>
  <property fmtid="{D5CDD505-2E9C-101B-9397-08002B2CF9AE}" pid="21" name="DLCPolicyLabelValue">
    <vt:lpwstr>Version: 0.7</vt:lpwstr>
  </property>
  <property fmtid="{D5CDD505-2E9C-101B-9397-08002B2CF9AE}" pid="22" name="DLCPolicyLabelClientValue">
    <vt:lpwstr>Version: {_UIVersionString}</vt:lpwstr>
  </property>
  <property fmtid="{D5CDD505-2E9C-101B-9397-08002B2CF9AE}" pid="23" name="_dlc_DocIdItemGuid">
    <vt:lpwstr>0bf5aadf-1d81-47c1-b9a3-ceceb24ed8c4</vt:lpwstr>
  </property>
  <property fmtid="{D5CDD505-2E9C-101B-9397-08002B2CF9AE}" pid="24" name="source_item_id">
    <vt:lpwstr>18828</vt:lpwstr>
  </property>
  <property fmtid="{D5CDD505-2E9C-101B-9397-08002B2CF9AE}" pid="25" name="_dlc_Exempt">
    <vt:bool>false</vt:bool>
  </property>
  <property fmtid="{D5CDD505-2E9C-101B-9397-08002B2CF9AE}" pid="26" name="MediaServiceImageTags">
    <vt:lpwstr/>
  </property>
</Properties>
</file>